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spacing w:line="360" w:lineRule="auto"/>
        <w:rPr>
          <w:rFonts w:ascii="宋体" w:hAnsi="宋体"/>
          <w:b/>
          <w:color w:val="auto"/>
          <w:sz w:val="72"/>
          <w:szCs w:val="20"/>
          <w:highlight w:val="none"/>
          <w:shd w:val="clear" w:color="auto" w:fill="ffffff"/>
        </w:rPr>
      </w:pPr>
      <w:r>
        <w:rPr>
          <w:rFonts w:ascii="宋体" w:hAnsi="宋体"/>
          <w:b/>
          <w:color w:val="auto"/>
          <w:sz w:val="72"/>
          <w:szCs w:val="20"/>
          <w:highlight w:val="none"/>
          <w:shd w:val="clear" w:color="auto" w:fill="ffffff"/>
        </w:rPr>
      </w:r>
      <w:r/>
    </w:p>
    <w:p>
      <w:pPr>
        <w:jc w:val="center"/>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苏州工业园区政府采购</w:t>
      </w:r>
      <w:r/>
    </w:p>
    <w:p>
      <w:pPr>
        <w:jc w:val="center"/>
        <w:spacing w:line="360" w:lineRule="auto"/>
        <w:rPr>
          <w:rFonts w:ascii="宋体" w:hAnsi="宋体"/>
          <w:b/>
          <w:color w:val="auto"/>
          <w:sz w:val="72"/>
          <w:szCs w:val="20"/>
          <w:highlight w:val="none"/>
          <w:shd w:val="clear" w:color="auto" w:fill="ffffff"/>
        </w:rPr>
      </w:pPr>
      <w:r>
        <w:rPr>
          <w:rFonts w:hint="eastAsia" w:ascii="宋体" w:hAnsi="宋体"/>
          <w:b/>
          <w:color w:val="auto"/>
          <w:sz w:val="72"/>
          <w:szCs w:val="20"/>
          <w:highlight w:val="none"/>
          <w:shd w:val="clear" w:color="auto" w:fill="ffffff"/>
        </w:rPr>
        <w:t xml:space="preserve">竞争性磋商文件</w:t>
      </w:r>
      <w:r/>
    </w:p>
    <w:p>
      <w:pPr>
        <w:rPr>
          <w:rFonts w:ascii="宋体" w:hAnsi="宋体" w:cs="宋体"/>
          <w:color w:val="auto"/>
          <w:sz w:val="84"/>
          <w:szCs w:val="84"/>
          <w:highlight w:val="none"/>
        </w:rPr>
      </w:pPr>
      <w:r>
        <w:rPr>
          <w:rFonts w:ascii="宋体" w:hAnsi="宋体" w:cs="宋体"/>
          <w:color w:val="auto"/>
          <w:sz w:val="84"/>
          <w:szCs w:val="84"/>
          <w:highlight w:val="none"/>
        </w:rPr>
      </w:r>
      <w:r/>
    </w:p>
    <w:p>
      <w:pPr>
        <w:rPr>
          <w:rFonts w:ascii="宋体" w:hAnsi="宋体" w:cs="宋体"/>
          <w:color w:val="auto"/>
          <w:sz w:val="84"/>
          <w:szCs w:val="84"/>
          <w:highlight w:val="none"/>
        </w:rPr>
      </w:pPr>
      <w:r>
        <w:rPr>
          <w:rFonts w:ascii="宋体" w:hAnsi="宋体" w:cs="宋体"/>
          <w:color w:val="auto"/>
          <w:sz w:val="84"/>
          <w:szCs w:val="84"/>
          <w:highlight w:val="none"/>
        </w:rPr>
      </w:r>
      <w:r/>
    </w:p>
    <w:p>
      <w:pPr>
        <w:ind w:firstLine="1502"/>
        <w:spacing w:line="360" w:lineRule="auto"/>
        <w:rPr>
          <w:rFonts w:hint="eastAsia" w:ascii="宋体" w:hAnsi="宋体" w:eastAsia="宋体" w:cs="宋体"/>
          <w:b/>
          <w:bCs/>
          <w:color w:val="auto"/>
          <w:sz w:val="30"/>
          <w:szCs w:val="30"/>
          <w:highlight w:val="none"/>
          <w:lang w:eastAsia="zh-CN"/>
        </w:rPr>
      </w:pPr>
      <w:r>
        <w:rPr>
          <w:rFonts w:hint="eastAsia" w:ascii="宋体" w:hAnsi="宋体"/>
          <w:b/>
          <w:bCs/>
          <w:color w:val="auto"/>
          <w:sz w:val="30"/>
          <w:szCs w:val="30"/>
          <w:highlight w:val="none"/>
          <w:shd w:val="clear" w:color="auto" w:fill="ffffff"/>
        </w:rPr>
        <w:t xml:space="preserve">项目编号：</w:t>
      </w:r>
      <w:r>
        <w:rPr>
          <w:rFonts w:hint="eastAsia" w:ascii="宋体" w:hAnsi="宋体" w:cs="宋体"/>
          <w:b/>
          <w:bCs/>
          <w:color w:val="auto"/>
          <w:sz w:val="30"/>
          <w:szCs w:val="30"/>
          <w:highlight w:val="none"/>
          <w:lang w:eastAsia="zh-CN"/>
        </w:rPr>
        <w:t xml:space="preserve">JSZC-320591-SZJX-C2026-0005</w:t>
      </w:r>
      <w:r/>
    </w:p>
    <w:p>
      <w:pPr>
        <w:ind w:firstLine="1502"/>
        <w:spacing w:line="360" w:lineRule="auto"/>
        <w:rPr>
          <w:rFonts w:hint="eastAsia" w:ascii="宋体" w:hAnsi="宋体" w:eastAsia="宋体"/>
          <w:b/>
          <w:bCs/>
          <w:color w:val="auto"/>
          <w:sz w:val="30"/>
          <w:szCs w:val="30"/>
          <w:highlight w:val="none"/>
          <w:shd w:val="clear" w:color="auto" w:fill="ffffff"/>
          <w:lang w:eastAsia="zh-CN"/>
        </w:rPr>
      </w:pPr>
      <w:r>
        <w:rPr>
          <w:rFonts w:hint="eastAsia" w:ascii="宋体" w:hAnsi="宋体"/>
          <w:b/>
          <w:bCs/>
          <w:color w:val="auto"/>
          <w:sz w:val="30"/>
          <w:szCs w:val="30"/>
          <w:highlight w:val="none"/>
          <w:shd w:val="clear" w:color="auto" w:fill="ffffff"/>
        </w:rPr>
        <w:t xml:space="preserve">采 购 人：</w:t>
      </w:r>
      <w:r>
        <w:rPr>
          <w:rFonts w:hint="eastAsia" w:ascii="宋体" w:hAnsi="宋体"/>
          <w:b/>
          <w:bCs/>
          <w:color w:val="auto"/>
          <w:sz w:val="30"/>
          <w:szCs w:val="30"/>
          <w:highlight w:val="none"/>
          <w:shd w:val="clear" w:color="auto" w:fill="ffffff"/>
          <w:lang w:eastAsia="zh-CN"/>
        </w:rPr>
        <w:t xml:space="preserve">苏州工业园区金鸡湖社区卫生服务中心</w:t>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b/>
          <w:bCs/>
          <w:color w:val="auto"/>
          <w:sz w:val="30"/>
          <w:szCs w:val="30"/>
          <w:highlight w:val="none"/>
          <w:shd w:val="clear" w:color="auto" w:fill="ffffff"/>
        </w:rPr>
        <w:t xml:space="preserve">   采购内容：</w:t>
      </w:r>
      <w:r>
        <w:rPr>
          <w:rFonts w:hint="eastAsia" w:ascii="宋体" w:hAnsi="宋体" w:cs="宋体"/>
          <w:b/>
          <w:bCs/>
          <w:color w:val="auto"/>
          <w:sz w:val="30"/>
          <w:szCs w:val="30"/>
          <w:highlight w:val="none"/>
          <w:lang w:eastAsia="zh-CN"/>
        </w:rPr>
        <w:t xml:space="preserve">金鸡湖社区卫生服务中心医疗设备运维服务</w:t>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1285"/>
        <w:jc w:val="left"/>
        <w:rPr>
          <w:rFonts w:ascii="宋体" w:hAnsi="宋体" w:cs="宋体"/>
          <w:b/>
          <w:bCs/>
          <w:color w:val="auto"/>
          <w:sz w:val="32"/>
          <w:szCs w:val="32"/>
          <w:highlight w:val="none"/>
        </w:rPr>
      </w:pPr>
      <w:r>
        <w:rPr>
          <w:rFonts w:ascii="宋体" w:hAnsi="宋体" w:cs="宋体"/>
          <w:b/>
          <w:bCs/>
          <w:color w:val="auto"/>
          <w:sz w:val="32"/>
          <w:szCs w:val="3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苏州捷信招投标咨询有限公司</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二〇二六年</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月</w:t>
      </w:r>
      <w:r/>
    </w:p>
    <w:p>
      <w:pPr>
        <w:rPr>
          <w:color w:val="auto"/>
          <w:highlight w:val="none"/>
        </w:rPr>
      </w:pPr>
      <w:r>
        <w:rPr>
          <w:color w:val="auto"/>
          <w:highlight w:val="none"/>
        </w:rPr>
      </w:r>
      <w:r/>
    </w:p>
    <w:p>
      <w:pPr>
        <w:jc w:val="center"/>
        <w:spacing w:line="360" w:lineRule="auto"/>
        <w:rPr>
          <w:rFonts w:ascii="宋体" w:hAnsi="宋体"/>
          <w:b/>
          <w:color w:val="auto"/>
          <w:sz w:val="32"/>
          <w:szCs w:val="32"/>
          <w:highlight w:val="none"/>
          <w:shd w:val="clear" w:color="auto" w:fill="ffffff"/>
        </w:rPr>
      </w:pPr>
      <w:r>
        <w:rPr>
          <w:rFonts w:ascii="宋体" w:hAnsi="宋体"/>
          <w:b/>
          <w:color w:val="auto"/>
          <w:sz w:val="32"/>
          <w:szCs w:val="32"/>
          <w:highlight w:val="none"/>
          <w:shd w:val="clear" w:color="auto" w:fill="ffffff"/>
        </w:rPr>
      </w:r>
      <w:r/>
    </w:p>
    <w:p>
      <w:pPr>
        <w:jc w:val="center"/>
        <w:spacing w:line="360" w:lineRule="auto"/>
        <w:rPr>
          <w:rFonts w:ascii="宋体" w:hAnsi="宋体"/>
          <w:b/>
          <w:color w:val="auto"/>
          <w:sz w:val="32"/>
          <w:szCs w:val="32"/>
          <w:highlight w:val="none"/>
          <w:shd w:val="clear" w:color="auto" w:fill="ffffff"/>
        </w:rPr>
      </w:pPr>
      <w:r>
        <w:rPr>
          <w:rFonts w:ascii="宋体" w:hAnsi="宋体"/>
          <w:b/>
          <w:color w:val="auto"/>
          <w:sz w:val="32"/>
          <w:szCs w:val="32"/>
          <w:highlight w:val="none"/>
          <w:shd w:val="clear" w:color="auto" w:fill="ffffff"/>
        </w:rPr>
      </w:r>
      <w:r/>
    </w:p>
    <w:p>
      <w:pPr>
        <w:jc w:val="center"/>
        <w:spacing w:line="360" w:lineRule="auto"/>
        <w:rPr>
          <w:rFonts w:ascii="宋体" w:hAnsi="宋体"/>
          <w:b/>
          <w:color w:val="auto"/>
          <w:sz w:val="32"/>
          <w:szCs w:val="32"/>
          <w:highlight w:val="none"/>
          <w:shd w:val="clear" w:color="auto" w:fill="ffffff"/>
        </w:rPr>
      </w:pPr>
      <w:r>
        <w:rPr>
          <w:rFonts w:ascii="宋体" w:hAnsi="宋体"/>
          <w:b/>
          <w:color w:val="auto"/>
          <w:sz w:val="32"/>
          <w:szCs w:val="32"/>
          <w:highlight w:val="none"/>
          <w:shd w:val="clear" w:color="auto" w:fill="ffffff"/>
        </w:rPr>
      </w:r>
      <w:r/>
    </w:p>
    <w:p>
      <w:pPr>
        <w:jc w:val="center"/>
        <w:spacing w:line="360" w:lineRule="auto"/>
        <w:rPr>
          <w:rFonts w:ascii="宋体" w:hAnsi="宋体"/>
          <w:b/>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667"/>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left"/>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金鸡湖社区卫生服务中心医疗设备运维服务</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投标保证金：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响应文件：本项目采用网上提交电子响应文件，不接受纸质投标文件。成交后7天内，成交供应商提交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5</w:t>
            </w:r>
            <w:r/>
          </w:p>
        </w:tc>
        <w:tc>
          <w:tcPr>
            <w:tcW w:w="8062" w:type="dxa"/>
            <w:vAlign w:val="center"/>
            <w:textDirection w:val="lrTb"/>
            <w:noWrap w:val="false"/>
          </w:tcPr>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提交响应文件接收截止时间：2026年 2月26 日14:00整（北京时间）</w:t>
            </w:r>
            <w:r/>
          </w:p>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开启时间：2026年  2月  26日14:00整（北京时间）</w:t>
            </w:r>
            <w:r/>
          </w:p>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开启地点：“苏采云”系统（网址：http://jszfcg.jsczt.cn/）</w:t>
            </w:r>
            <w:r/>
          </w:p>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递交方式：</w:t>
            </w:r>
            <w:r>
              <w:rPr>
                <w:rFonts w:hint="eastAsia" w:ascii="宋体" w:hAnsi="宋体" w:cs="宋体"/>
                <w:color w:val="auto"/>
                <w:szCs w:val="21"/>
                <w:highlight w:val="none"/>
              </w:rPr>
              <w:t xml:space="preserve">响应文件网上递交</w:t>
            </w:r>
            <w:r/>
          </w:p>
          <w:p>
            <w:pP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线上参加开标（开启）会方式：供应商登录“苏采云”系统，点击“开标大厅”，选择对应项目，点击进入不见面开标系统。</w:t>
            </w:r>
            <w:r/>
          </w:p>
          <w:p>
            <w:pP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widowControl/>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履约保证金：成交金额的5%。（可提供符合《关于在全省政府采购领域推行电子履约保函（保险）的通知》（苏财购[2023]150号）要求的电子履约保函）</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按差额定率累进法计算收取，</w:t>
            </w:r>
            <w:r>
              <w:rPr>
                <w:rFonts w:hint="eastAsia" w:ascii="宋体" w:hAnsi="宋体" w:cs="宋体"/>
                <w:color w:val="auto"/>
                <w:szCs w:val="21"/>
                <w:highlight w:val="none"/>
                <w:lang w:val="en-US" w:eastAsia="zh-CN"/>
              </w:rPr>
              <w:t xml:space="preserve">成交人</w:t>
            </w:r>
            <w:r>
              <w:rPr>
                <w:rFonts w:hint="eastAsia" w:ascii="宋体" w:hAnsi="宋体" w:cs="宋体"/>
                <w:color w:val="auto"/>
                <w:szCs w:val="21"/>
                <w:highlight w:val="none"/>
              </w:rPr>
              <w:t xml:space="preserve">在领取</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时向采购代理机构一次性付清。预算金额100万以下费率为预算金额的1.5%；预算金额100万（含）-500万费率为预算金额的1.1%；预算金额500万（含）-1000万费率为预算金额的0.8%的。不满叁仟，按照叁仟元整收取。</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t xml:space="preserve">成交服务费账户名：苏州捷信招投标咨询有限公司</w:t>
            </w:r>
            <w:r/>
          </w:p>
          <w:p>
            <w:pPr>
              <w:jc w:val="left"/>
              <w:widowControl/>
              <w:rPr>
                <w:rFonts w:ascii="宋体" w:hAnsi="宋体"/>
                <w:color w:val="auto"/>
                <w:szCs w:val="21"/>
                <w:highlight w:val="none"/>
                <w:shd w:val="clear" w:color="auto" w:fill="ffffff"/>
              </w:rPr>
            </w:pPr>
            <w:r>
              <w:rPr>
                <w:rFonts w:hint="eastAsia" w:ascii="宋体" w:hAnsi="宋体" w:cs="宋体"/>
                <w:color w:val="auto"/>
                <w:szCs w:val="21"/>
                <w:highlight w:val="none"/>
              </w:rPr>
              <w:t xml:space="preserve">账号：543058195260，开户银行：中国银行苏州南园支行</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673"/>
        <w:rPr>
          <w:color w:val="auto"/>
          <w:highlight w:val="none"/>
        </w:rPr>
      </w:pPr>
      <w:r>
        <w:rPr>
          <w:color w:val="auto"/>
          <w:highlight w:val="none"/>
        </w:rPr>
      </w:r>
      <w:r/>
    </w:p>
    <w:p>
      <w:pPr>
        <w:pStyle w:val="673"/>
        <w:rPr>
          <w:color w:val="auto"/>
          <w:highlight w:val="none"/>
        </w:rPr>
      </w:pPr>
      <w:r>
        <w:rPr>
          <w:color w:val="auto"/>
          <w:highlight w:val="none"/>
        </w:rPr>
      </w:r>
      <w:r/>
    </w:p>
    <w:p>
      <w:pPr>
        <w:pStyle w:val="673"/>
        <w:rPr>
          <w:color w:val="auto"/>
          <w:highlight w:val="none"/>
        </w:rPr>
      </w:pPr>
      <w:r>
        <w:rPr>
          <w:color w:val="auto"/>
          <w:highlight w:val="none"/>
        </w:rPr>
      </w:r>
      <w:r/>
    </w:p>
    <w:p>
      <w:pPr>
        <w:pStyle w:val="673"/>
        <w:rPr>
          <w:color w:val="auto"/>
          <w:highlight w:val="none"/>
        </w:rPr>
      </w:pPr>
      <w:r>
        <w:rPr>
          <w:color w:val="auto"/>
          <w:highlight w:val="none"/>
        </w:rPr>
      </w:r>
      <w:r/>
    </w:p>
    <w:p>
      <w:pPr>
        <w:pStyle w:val="673"/>
        <w:rPr>
          <w:color w:val="auto"/>
          <w:highlight w:val="none"/>
        </w:rPr>
      </w:pPr>
      <w:r>
        <w:rPr>
          <w:color w:val="auto"/>
          <w:highlight w:val="none"/>
        </w:rPr>
      </w:r>
      <w:r/>
    </w:p>
    <w:p>
      <w:pPr>
        <w:pStyle w:val="673"/>
        <w:rPr>
          <w:color w:val="auto"/>
          <w:highlight w:val="none"/>
        </w:rPr>
      </w:pPr>
      <w:r>
        <w:rPr>
          <w:color w:val="auto"/>
          <w:highlight w:val="none"/>
        </w:rPr>
      </w:r>
      <w:r/>
    </w:p>
    <w:p>
      <w:pPr>
        <w:pStyle w:val="673"/>
        <w:ind w:left="0"/>
        <w:rPr>
          <w:color w:val="auto"/>
          <w:highlight w:val="none"/>
        </w:rPr>
      </w:pPr>
      <w:r>
        <w:rPr>
          <w:color w:val="auto"/>
          <w:highlight w:val="none"/>
        </w:rPr>
      </w:r>
      <w:r/>
    </w:p>
    <w:p>
      <w:pPr>
        <w:pStyle w:val="673"/>
        <w:rPr>
          <w:color w:val="auto"/>
          <w:highlight w:val="none"/>
        </w:rPr>
      </w:pPr>
      <w:r>
        <w:rPr>
          <w:color w:val="auto"/>
          <w:highlight w:val="none"/>
        </w:rPr>
      </w:r>
      <w:r/>
    </w:p>
    <w:p>
      <w:pPr>
        <w:pStyle w:val="673"/>
        <w:ind w:left="0"/>
        <w:rPr>
          <w:color w:val="auto"/>
          <w:highlight w:val="none"/>
        </w:rPr>
      </w:pPr>
      <w:r>
        <w:rPr>
          <w:color w:val="auto"/>
          <w:highlight w:val="none"/>
        </w:rPr>
      </w:r>
      <w:r/>
    </w:p>
    <w:p>
      <w:pPr>
        <w:ind w:firstLine="1044"/>
        <w:jc w:val="center"/>
        <w:spacing w:line="360" w:lineRule="auto"/>
        <w:rPr>
          <w:rFonts w:ascii="宋体" w:hAnsi="宋体"/>
          <w:b/>
          <w:color w:val="auto"/>
          <w:sz w:val="48"/>
          <w:szCs w:val="48"/>
          <w:highlight w:val="none"/>
          <w:shd w:val="clear" w:color="auto" w:fill="ffffff"/>
        </w:rPr>
      </w:pPr>
      <w:r>
        <w:rPr>
          <w:rFonts w:hint="eastAsia" w:ascii="宋体" w:hAnsi="宋体"/>
          <w:b/>
          <w:color w:val="auto"/>
          <w:sz w:val="48"/>
          <w:szCs w:val="48"/>
          <w:highlight w:val="none"/>
          <w:shd w:val="clear" w:color="auto" w:fill="ffffff"/>
        </w:rPr>
        <w:t xml:space="preserve">总目录</w:t>
      </w:r>
      <w:r/>
    </w:p>
    <w:p>
      <w:pPr>
        <w:ind w:firstLine="482"/>
        <w:spacing w:line="360" w:lineRule="auto"/>
        <w:tabs>
          <w:tab w:val="right" w:pos="9022" w:leader="dot"/>
        </w:tabs>
        <w:rPr>
          <w:rFonts w:ascii="宋体" w:hAnsi="宋体"/>
          <w:color w:val="auto"/>
          <w:highlight w:val="none"/>
        </w:rPr>
      </w:pPr>
      <w:r>
        <w:rPr>
          <w:rFonts w:ascii="宋体" w:hAnsi="宋体"/>
          <w:b/>
          <w:bCs/>
          <w:color w:val="auto"/>
          <w:sz w:val="24"/>
          <w:highlight w:val="none"/>
          <w:shd w:val="clear" w:color="auto" w:fill="ffffff"/>
        </w:rPr>
        <w:fldChar w:fldCharType="begin"/>
      </w:r>
      <w:r>
        <w:rPr>
          <w:rFonts w:ascii="宋体" w:hAnsi="宋体"/>
          <w:b/>
          <w:bCs/>
          <w:color w:val="auto"/>
          <w:sz w:val="24"/>
          <w:highlight w:val="none"/>
          <w:shd w:val="clear" w:color="auto" w:fill="ffffff"/>
        </w:rPr>
        <w:instrText xml:space="preserve"> TOC \o "1-1"</w:instrText>
      </w:r>
      <w:r>
        <w:rPr>
          <w:rFonts w:ascii="宋体" w:hAnsi="宋体"/>
          <w:b/>
          <w:bCs/>
          <w:color w:val="auto"/>
          <w:sz w:val="24"/>
          <w:highlight w:val="none"/>
          <w:shd w:val="clear" w:color="auto" w:fill="ffffff"/>
        </w:rPr>
        <w:fldChar w:fldCharType="separate"/>
      </w:r>
      <w:r>
        <w:rPr>
          <w:rFonts w:hint="eastAsia" w:ascii="宋体" w:hAnsi="宋体"/>
          <w:color w:val="auto"/>
          <w:sz w:val="24"/>
          <w:szCs w:val="20"/>
          <w:highlight w:val="none"/>
          <w:shd w:val="clear" w:color="auto" w:fill="ffffff"/>
        </w:rPr>
        <w:t xml:space="preserve">第一章 磋商邀请</w:t>
      </w:r>
      <w:r/>
    </w:p>
    <w:p>
      <w:pPr>
        <w:ind w:firstLine="482"/>
        <w:spacing w:line="360" w:lineRule="auto"/>
        <w:tabs>
          <w:tab w:val="right" w:pos="9022" w:leader="dot"/>
        </w:tabs>
        <w:rPr>
          <w:rFonts w:ascii="宋体" w:hAnsi="宋体"/>
          <w:color w:val="auto"/>
          <w:sz w:val="24"/>
          <w:szCs w:val="20"/>
          <w:highlight w:val="none"/>
          <w:shd w:val="clear" w:color="auto" w:fill="ffffff"/>
        </w:rPr>
      </w:pPr>
      <w:r>
        <w:rPr>
          <w:rFonts w:hint="eastAsia" w:ascii="宋体" w:hAnsi="宋体"/>
          <w:color w:val="auto"/>
          <w:sz w:val="24"/>
          <w:szCs w:val="20"/>
          <w:highlight w:val="none"/>
          <w:shd w:val="clear" w:color="auto" w:fill="ffffff"/>
        </w:rPr>
        <w:t xml:space="preserve">第二章 磋商响应文件格式</w:t>
      </w:r>
      <w:r/>
    </w:p>
    <w:p>
      <w:pPr>
        <w:ind w:firstLine="482"/>
        <w:spacing w:line="360" w:lineRule="auto"/>
        <w:tabs>
          <w:tab w:val="right" w:pos="9022" w:leader="dot"/>
        </w:tabs>
        <w:rPr>
          <w:rFonts w:ascii="宋体" w:hAnsi="宋体"/>
          <w:color w:val="auto"/>
          <w:highlight w:val="none"/>
        </w:rPr>
      </w:pPr>
      <w:r>
        <w:rPr>
          <w:rFonts w:hint="eastAsia" w:ascii="宋体" w:hAnsi="宋体"/>
          <w:color w:val="auto"/>
          <w:sz w:val="24"/>
          <w:szCs w:val="20"/>
          <w:highlight w:val="none"/>
          <w:shd w:val="clear" w:color="auto" w:fill="ffffff"/>
        </w:rPr>
        <w:t xml:space="preserve">第三章 采购内容</w:t>
      </w:r>
      <w:r/>
    </w:p>
    <w:p>
      <w:pPr>
        <w:ind w:firstLine="482"/>
        <w:spacing w:line="360" w:lineRule="auto"/>
        <w:tabs>
          <w:tab w:val="right" w:pos="9022" w:leader="dot"/>
        </w:tabs>
        <w:rPr>
          <w:rFonts w:ascii="宋体" w:hAnsi="宋体"/>
          <w:color w:val="auto"/>
          <w:sz w:val="24"/>
          <w:szCs w:val="20"/>
          <w:highlight w:val="none"/>
          <w:shd w:val="clear" w:color="auto" w:fill="ffffff"/>
        </w:rPr>
      </w:pPr>
      <w:r>
        <w:rPr>
          <w:rFonts w:hint="eastAsia" w:ascii="宋体" w:hAnsi="宋体"/>
          <w:color w:val="auto"/>
          <w:sz w:val="24"/>
          <w:szCs w:val="20"/>
          <w:highlight w:val="none"/>
          <w:shd w:val="clear" w:color="auto" w:fill="ffffff"/>
        </w:rPr>
        <w:t xml:space="preserve">第四章 合同主要条款</w:t>
      </w:r>
      <w:r/>
    </w:p>
    <w:p>
      <w:pPr>
        <w:ind w:firstLine="482"/>
        <w:spacing w:line="360" w:lineRule="auto"/>
        <w:tabs>
          <w:tab w:val="right" w:pos="9022" w:leader="dot"/>
        </w:tabs>
        <w:rPr>
          <w:rFonts w:ascii="宋体" w:hAnsi="宋体"/>
          <w:color w:val="auto"/>
          <w:sz w:val="24"/>
          <w:szCs w:val="20"/>
          <w:highlight w:val="none"/>
          <w:shd w:val="clear" w:color="auto" w:fill="ffffff"/>
        </w:rPr>
      </w:pPr>
      <w:r>
        <w:rPr>
          <w:rFonts w:hint="eastAsia" w:ascii="宋体" w:hAnsi="宋体"/>
          <w:color w:val="auto"/>
          <w:sz w:val="24"/>
          <w:szCs w:val="20"/>
          <w:highlight w:val="none"/>
          <w:shd w:val="clear" w:color="auto" w:fill="ffffff"/>
        </w:rPr>
        <w:t xml:space="preserve">第五章 评审办法</w:t>
      </w:r>
      <w:r/>
    </w:p>
    <w:p>
      <w:pPr>
        <w:ind w:firstLine="482"/>
        <w:spacing w:line="360" w:lineRule="auto"/>
        <w:tabs>
          <w:tab w:val="right" w:pos="9022" w:leader="dot"/>
        </w:tabs>
        <w:rPr>
          <w:rFonts w:ascii="宋体" w:hAnsi="宋体"/>
          <w:color w:val="auto"/>
          <w:sz w:val="24"/>
          <w:szCs w:val="20"/>
          <w:highlight w:val="none"/>
        </w:rPr>
      </w:pPr>
      <w:r>
        <w:rPr>
          <w:rFonts w:hint="eastAsia" w:ascii="宋体" w:hAnsi="宋体"/>
          <w:color w:val="auto"/>
          <w:sz w:val="24"/>
          <w:szCs w:val="20"/>
          <w:highlight w:val="none"/>
          <w:shd w:val="clear" w:color="auto" w:fill="ffffff"/>
        </w:rPr>
        <w:t xml:space="preserve">第六章 附件</w:t>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fldChar w:fldCharType="end"/>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ind w:left="0"/>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ind w:left="0"/>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ind w:left="0"/>
        <w:rPr>
          <w:rFonts w:ascii="宋体" w:hAnsi="宋体"/>
          <w:bCs/>
          <w:color w:val="auto"/>
          <w:highlight w:val="none"/>
          <w:shd w:val="clear" w:color="auto" w:fill="ffffff"/>
        </w:rPr>
      </w:pPr>
      <w:r>
        <w:rPr>
          <w:rFonts w:ascii="宋体" w:hAnsi="宋体"/>
          <w:bCs/>
          <w:color w:val="auto"/>
          <w:highlight w:val="none"/>
          <w:shd w:val="clear" w:color="auto" w:fill="ffffff"/>
        </w:rPr>
      </w:r>
      <w:r/>
    </w:p>
    <w:p>
      <w:pPr>
        <w:pStyle w:val="673"/>
        <w:jc w:val="center"/>
        <w:rPr>
          <w:rFonts w:ascii="宋体" w:hAnsi="宋体" w:eastAsia="宋体" w:cs="宋体"/>
          <w:bCs/>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第一章 磋商邀请</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项目概况</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lang w:eastAsia="zh-CN"/>
        </w:rPr>
        <w:t xml:space="preserve">金鸡湖社区卫生服务中心医疗设备运维服务</w:t>
      </w:r>
      <w:r>
        <w:rPr>
          <w:rFonts w:hint="eastAsia" w:ascii="宋体" w:hAnsi="宋体" w:eastAsia="宋体" w:cs="宋体"/>
          <w:bCs/>
          <w:color w:val="auto"/>
          <w:sz w:val="21"/>
          <w:szCs w:val="21"/>
          <w:highlight w:val="none"/>
          <w:shd w:val="clear" w:color="auto" w:fill="ffffff"/>
        </w:rPr>
        <w:t xml:space="preserve">（</w:t>
      </w:r>
      <w:r>
        <w:rPr>
          <w:rFonts w:hint="eastAsia" w:ascii="宋体" w:hAnsi="宋体" w:eastAsia="宋体" w:cs="宋体"/>
          <w:bCs/>
          <w:color w:val="auto"/>
          <w:sz w:val="21"/>
          <w:szCs w:val="21"/>
          <w:highlight w:val="none"/>
          <w:shd w:val="clear" w:color="auto" w:fill="ffffff"/>
          <w:lang w:eastAsia="zh-CN"/>
        </w:rPr>
        <w:t xml:space="preserve">JSZC-320591-SZJX-C2026-0005</w:t>
      </w:r>
      <w:r>
        <w:rPr>
          <w:rFonts w:hint="eastAsia" w:ascii="宋体" w:hAnsi="宋体" w:eastAsia="宋体" w:cs="宋体"/>
          <w:bCs/>
          <w:color w:val="auto"/>
          <w:sz w:val="21"/>
          <w:szCs w:val="21"/>
          <w:highlight w:val="none"/>
          <w:shd w:val="clear" w:color="auto" w:fill="ffffff"/>
        </w:rPr>
        <w:t xml:space="preserve">）</w:t>
      </w:r>
      <w:r>
        <w:rPr>
          <w:rFonts w:hint="eastAsia" w:ascii="宋体" w:hAnsi="宋体" w:eastAsia="宋体" w:cs="宋体"/>
          <w:bCs/>
          <w:color w:val="auto"/>
          <w:sz w:val="21"/>
          <w:szCs w:val="21"/>
          <w:highlight w:val="none"/>
          <w:shd w:val="clear" w:color="auto" w:fill="ffffff"/>
        </w:rPr>
        <w:t xml:space="preserve">的潜在供应商可在江苏省政府采购一体化平台“苏采云”系统自行免费下载磋商文件，并于</w:t>
      </w:r>
      <w:r>
        <w:rPr>
          <w:rFonts w:hint="eastAsia" w:ascii="宋体" w:hAnsi="宋体" w:eastAsia="宋体" w:cs="宋体"/>
          <w:bCs/>
          <w:color w:val="auto"/>
          <w:sz w:val="21"/>
          <w:szCs w:val="21"/>
          <w:highlight w:val="none"/>
          <w:shd w:val="clear" w:color="auto" w:fill="ffffff"/>
        </w:rPr>
        <w:t xml:space="preserve">2026年</w:t>
      </w:r>
      <w:r>
        <w:rPr>
          <w:rFonts w:hint="eastAsia" w:ascii="宋体" w:hAnsi="宋体" w:eastAsia="宋体" w:cs="宋体"/>
          <w:bCs/>
          <w:color w:val="auto"/>
          <w:sz w:val="21"/>
          <w:szCs w:val="21"/>
          <w:highlight w:val="none"/>
          <w:shd w:val="clear" w:color="auto" w:fill="ffffff"/>
          <w:lang w:val="en-US" w:eastAsia="zh-CN"/>
        </w:rPr>
        <w:t xml:space="preserve">  </w:t>
      </w:r>
      <w:r>
        <w:rPr>
          <w:rFonts w:hint="eastAsia" w:ascii="宋体" w:hAnsi="宋体" w:eastAsia="宋体" w:cs="宋体"/>
          <w:bCs/>
          <w:color w:val="auto"/>
          <w:sz w:val="21"/>
          <w:szCs w:val="21"/>
          <w:highlight w:val="none"/>
          <w:shd w:val="clear" w:color="auto" w:fill="ffffff"/>
        </w:rPr>
        <w:t xml:space="preserve">2月</w:t>
      </w:r>
      <w:r>
        <w:rPr>
          <w:rFonts w:hint="eastAsia" w:ascii="宋体" w:hAnsi="宋体" w:eastAsia="宋体" w:cs="宋体"/>
          <w:bCs/>
          <w:color w:val="auto"/>
          <w:sz w:val="21"/>
          <w:szCs w:val="21"/>
          <w:highlight w:val="none"/>
          <w:shd w:val="clear" w:color="auto" w:fill="ffffff"/>
          <w:lang w:val="en-US" w:eastAsia="zh-CN"/>
        </w:rPr>
        <w:t xml:space="preserve">  26</w:t>
      </w:r>
      <w:r>
        <w:rPr>
          <w:rFonts w:hint="eastAsia" w:ascii="宋体" w:hAnsi="宋体" w:eastAsia="宋体" w:cs="宋体"/>
          <w:bCs/>
          <w:color w:val="auto"/>
          <w:sz w:val="21"/>
          <w:szCs w:val="21"/>
          <w:highlight w:val="none"/>
          <w:shd w:val="clear" w:color="auto" w:fill="ffffff"/>
        </w:rPr>
        <w:t xml:space="preserve">日14点00分（北</w:t>
      </w:r>
      <w:r>
        <w:rPr>
          <w:rFonts w:hint="eastAsia" w:ascii="宋体" w:hAnsi="宋体" w:eastAsia="宋体" w:cs="宋体"/>
          <w:bCs/>
          <w:color w:val="auto"/>
          <w:sz w:val="21"/>
          <w:szCs w:val="21"/>
          <w:highlight w:val="none"/>
          <w:shd w:val="clear" w:color="auto" w:fill="ffffff"/>
        </w:rPr>
        <w:t xml:space="preserve">京时间）前递交响应文件。</w:t>
      </w:r>
      <w:r/>
    </w:p>
    <w:p>
      <w:pPr>
        <w:pStyle w:val="673"/>
        <w:ind w:left="0" w:firstLine="422"/>
        <w:spacing w:line="360" w:lineRule="auto"/>
        <w:rPr>
          <w:rFonts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一、项目基本情况</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项目编号：</w:t>
      </w:r>
      <w:r>
        <w:rPr>
          <w:rFonts w:hint="eastAsia" w:ascii="宋体" w:hAnsi="宋体" w:eastAsia="宋体" w:cs="宋体"/>
          <w:bCs/>
          <w:color w:val="auto"/>
          <w:sz w:val="21"/>
          <w:szCs w:val="21"/>
          <w:highlight w:val="none"/>
          <w:shd w:val="clear" w:color="auto" w:fill="ffffff"/>
          <w:lang w:eastAsia="zh-CN"/>
        </w:rPr>
        <w:t xml:space="preserve">JSZC-320591-SZJX-C2026-0005</w:t>
      </w:r>
      <w:r>
        <w:rPr>
          <w:rFonts w:hint="eastAsia" w:ascii="宋体" w:hAnsi="宋体" w:eastAsia="宋体" w:cs="宋体"/>
          <w:bCs/>
          <w:color w:val="auto"/>
          <w:sz w:val="21"/>
          <w:szCs w:val="21"/>
          <w:highlight w:val="none"/>
          <w:shd w:val="clear" w:color="auto" w:fill="ffffff"/>
        </w:rPr>
        <w:tab/>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项目名称：</w:t>
      </w:r>
      <w:r>
        <w:rPr>
          <w:rFonts w:hint="eastAsia" w:ascii="宋体" w:hAnsi="宋体" w:eastAsia="宋体" w:cs="宋体"/>
          <w:bCs/>
          <w:color w:val="auto"/>
          <w:sz w:val="21"/>
          <w:szCs w:val="21"/>
          <w:highlight w:val="none"/>
          <w:shd w:val="clear" w:color="auto" w:fill="ffffff"/>
          <w:lang w:eastAsia="zh-CN"/>
        </w:rPr>
        <w:t xml:space="preserve">金鸡湖社区卫生服务中心医疗设备运维服务</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采购方式：竞争性磋商</w:t>
      </w:r>
      <w:r/>
    </w:p>
    <w:p>
      <w:pPr>
        <w:pStyle w:val="673"/>
        <w:ind w:left="0" w:firstLine="42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rPr>
        <w:t xml:space="preserve">预算金额：人民币</w:t>
      </w:r>
      <w:r>
        <w:rPr>
          <w:rFonts w:hint="eastAsia" w:ascii="宋体" w:hAnsi="宋体" w:eastAsia="宋体" w:cs="宋体"/>
          <w:bCs/>
          <w:color w:val="auto"/>
          <w:sz w:val="21"/>
          <w:szCs w:val="21"/>
          <w:highlight w:val="none"/>
          <w:shd w:val="clear" w:color="auto" w:fill="ffffff"/>
          <w:lang w:val="en-US" w:eastAsia="zh-CN"/>
        </w:rPr>
        <w:t xml:space="preserve"> </w:t>
      </w:r>
      <w:r>
        <w:rPr>
          <w:rFonts w:hint="eastAsia" w:ascii="宋体" w:hAnsi="宋体" w:eastAsia="宋体" w:cs="宋体"/>
          <w:bCs/>
          <w:color w:val="auto"/>
          <w:sz w:val="21"/>
          <w:szCs w:val="21"/>
          <w:highlight w:val="none"/>
          <w:shd w:val="clear" w:color="auto" w:fill="ffffff"/>
          <w:lang w:eastAsia="zh-CN"/>
        </w:rPr>
        <w:t xml:space="preserve">贰佰零伍万元整（小写：2050000.00元）</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最高限价：人民币 贰佰零伍万元整（小写：2050000.00元）</w:t>
      </w:r>
      <w:r/>
    </w:p>
    <w:p>
      <w:pPr>
        <w:pStyle w:val="673"/>
        <w:ind w:left="0" w:firstLine="422"/>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二、采购需求</w:t>
      </w:r>
      <w:r/>
    </w:p>
    <w:p>
      <w:pPr>
        <w:pStyle w:val="673"/>
        <w:ind w:left="0" w:firstLine="42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rPr>
        <w:t xml:space="preserve">1、服务内容：</w:t>
      </w:r>
      <w:r>
        <w:rPr>
          <w:rFonts w:hint="eastAsia" w:ascii="宋体" w:hAnsi="宋体" w:eastAsia="宋体" w:cs="宋体"/>
          <w:bCs/>
          <w:color w:val="auto"/>
          <w:sz w:val="21"/>
          <w:szCs w:val="21"/>
          <w:highlight w:val="none"/>
          <w:shd w:val="clear" w:color="auto" w:fill="ffffff"/>
          <w:lang w:eastAsia="zh-CN"/>
        </w:rPr>
        <w:t xml:space="preserve">金鸡湖社区卫生服务中心医疗设备运维服务。</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2、服务履行地点：苏州工业园区。</w:t>
      </w:r>
      <w:r/>
    </w:p>
    <w:p>
      <w:pPr>
        <w:pStyle w:val="673"/>
        <w:ind w:left="0" w:firstLine="42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rPr>
        <w:t xml:space="preserve">3、服务期限（合同履约期限）：</w:t>
      </w:r>
      <w:r>
        <w:rPr>
          <w:rFonts w:hint="eastAsia" w:ascii="宋体" w:hAnsi="宋体" w:eastAsia="宋体" w:cs="宋体"/>
          <w:bCs/>
          <w:color w:val="auto"/>
          <w:sz w:val="21"/>
          <w:szCs w:val="21"/>
          <w:highlight w:val="none"/>
          <w:shd w:val="clear" w:color="auto" w:fill="ffffff"/>
          <w:lang w:eastAsia="zh-CN"/>
        </w:rPr>
        <w:t xml:space="preserve">24个月（实际进场日期以采购人书面通知为准）。</w:t>
      </w:r>
      <w:r/>
    </w:p>
    <w:p>
      <w:pPr>
        <w:pStyle w:val="673"/>
        <w:ind w:left="0" w:firstLine="422"/>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三、申请人的资格要求</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1、满足《中华人民共和国政府采购法》第二十二条规定：</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1.1 具有独立承担民事责任的能力；</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1.2 具有良好的商业信誉和健全的财务会计制度；</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1.3 具有履行合同所必须的设备和专业技术能力；</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1.4 有依法缴纳税收和社会保障资金的良好记录；</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1.5 参加政府采购活动前三年内,在经营活动中没有重大违法记录；</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1.6 法律、行政法规规定的其他条件。</w:t>
      </w:r>
      <w:r/>
    </w:p>
    <w:p>
      <w:pPr>
        <w:pStyle w:val="673"/>
        <w:ind w:left="0" w:firstLine="42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rPr>
        <w:t xml:space="preserve">2、落实政府采购政策需满足的资格要求：根据《政府采购促进中小企业发展管理办法》的相关规定，本项目</w:t>
      </w:r>
      <w:r>
        <w:rPr>
          <w:rFonts w:hint="eastAsia" w:ascii="宋体" w:hAnsi="宋体" w:eastAsia="宋体" w:cs="宋体"/>
          <w:bCs/>
          <w:color w:val="auto"/>
          <w:sz w:val="21"/>
          <w:szCs w:val="21"/>
          <w:highlight w:val="none"/>
          <w:shd w:val="clear" w:color="auto" w:fill="ffffff"/>
          <w:lang w:val="en-US" w:eastAsia="zh-CN"/>
        </w:rPr>
        <w:t xml:space="preserve">非</w:t>
      </w:r>
      <w:r>
        <w:rPr>
          <w:rFonts w:hint="eastAsia" w:ascii="宋体" w:hAnsi="宋体" w:eastAsia="宋体" w:cs="宋体"/>
          <w:bCs/>
          <w:color w:val="auto"/>
          <w:sz w:val="21"/>
          <w:szCs w:val="21"/>
          <w:highlight w:val="none"/>
          <w:shd w:val="clear" w:color="auto" w:fill="ffffff"/>
        </w:rPr>
        <w:t xml:space="preserve">专门面向中小企业</w:t>
      </w:r>
      <w:r>
        <w:rPr>
          <w:rFonts w:hint="eastAsia" w:ascii="宋体" w:hAnsi="宋体" w:eastAsia="宋体" w:cs="宋体"/>
          <w:bCs/>
          <w:color w:val="auto"/>
          <w:sz w:val="21"/>
          <w:szCs w:val="21"/>
          <w:highlight w:val="none"/>
          <w:shd w:val="clear" w:color="auto" w:fill="ffffff"/>
          <w:lang w:eastAsia="zh-CN"/>
        </w:rPr>
        <w:t xml:space="preserve">。</w:t>
      </w:r>
      <w:r/>
    </w:p>
    <w:p>
      <w:pPr>
        <w:pStyle w:val="673"/>
        <w:ind w:left="0" w:firstLine="420"/>
        <w:spacing w:line="360" w:lineRule="auto"/>
        <w:rPr>
          <w:rFonts w:hint="eastAsia" w:ascii="宋体" w:hAnsi="宋体" w:eastAsia="宋体" w:cs="宋体"/>
          <w:bCs/>
          <w:color w:val="auto"/>
          <w:sz w:val="21"/>
          <w:szCs w:val="21"/>
          <w:highlight w:val="none"/>
          <w:shd w:val="clear" w:color="auto" w:fill="ffffff"/>
        </w:rPr>
      </w:pPr>
      <w:r>
        <w:rPr>
          <w:rFonts w:hint="default" w:ascii="宋体" w:hAnsi="宋体" w:eastAsia="宋体" w:cs="宋体"/>
          <w:bCs/>
          <w:color w:val="auto"/>
          <w:sz w:val="21"/>
          <w:szCs w:val="21"/>
          <w:highlight w:val="none"/>
          <w:shd w:val="clear" w:color="auto" w:fill="ffffff"/>
          <w:lang w:val="en-US"/>
        </w:rPr>
        <w:t xml:space="preserve">3</w:t>
      </w:r>
      <w:r>
        <w:rPr>
          <w:rFonts w:hint="eastAsia" w:ascii="宋体" w:hAnsi="宋体" w:eastAsia="宋体" w:cs="宋体"/>
          <w:bCs/>
          <w:color w:val="auto"/>
          <w:sz w:val="21"/>
          <w:szCs w:val="21"/>
          <w:highlight w:val="none"/>
          <w:shd w:val="clear" w:color="auto" w:fill="ffffff"/>
        </w:rPr>
        <w:t xml:space="preserve">、本项目的特定资格要求：无。</w:t>
      </w:r>
      <w:r/>
    </w:p>
    <w:p>
      <w:pPr>
        <w:pStyle w:val="673"/>
        <w:ind w:left="0" w:firstLine="42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lang w:val="en-US" w:eastAsia="zh-CN"/>
        </w:rPr>
        <w:t xml:space="preserve">注：</w:t>
      </w:r>
      <w:r>
        <w:rPr>
          <w:rFonts w:hint="eastAsia" w:ascii="宋体" w:hAnsi="宋体" w:eastAsia="宋体" w:cs="宋体"/>
          <w:bCs/>
          <w:color w:val="auto"/>
          <w:sz w:val="21"/>
          <w:szCs w:val="21"/>
          <w:highlight w:val="none"/>
          <w:shd w:val="clear" w:color="auto" w:fill="ffffff"/>
        </w:rPr>
        <w:t xml:space="preserve">本项目不接受联合体参与响应，不得转包、分包本项目。</w:t>
      </w:r>
      <w:r/>
    </w:p>
    <w:p>
      <w:pPr>
        <w:pStyle w:val="673"/>
        <w:ind w:left="0" w:firstLine="422"/>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四、获取磋商文件</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1、时间：自</w:t>
      </w:r>
      <w:r>
        <w:rPr>
          <w:rFonts w:hint="eastAsia" w:ascii="宋体" w:hAnsi="宋体" w:eastAsia="宋体" w:cs="宋体"/>
          <w:bCs/>
          <w:color w:val="auto"/>
          <w:sz w:val="21"/>
          <w:szCs w:val="21"/>
          <w:highlight w:val="none"/>
          <w:shd w:val="clear" w:color="auto" w:fill="ffffff"/>
          <w:lang w:val="en-US" w:eastAsia="zh-CN"/>
        </w:rPr>
        <w:t xml:space="preserve">磋商</w:t>
      </w:r>
      <w:r>
        <w:rPr>
          <w:rFonts w:hint="eastAsia" w:ascii="宋体" w:hAnsi="宋体" w:eastAsia="宋体" w:cs="宋体"/>
          <w:bCs/>
          <w:color w:val="auto"/>
          <w:sz w:val="21"/>
          <w:szCs w:val="21"/>
          <w:highlight w:val="none"/>
          <w:shd w:val="clear" w:color="auto" w:fill="ffffff"/>
        </w:rPr>
        <w:t xml:space="preserve">公告发布之日起至五个工作日（北京时间）。</w:t>
      </w:r>
      <w:r/>
    </w:p>
    <w:p>
      <w:pPr>
        <w:pStyle w:val="673"/>
        <w:ind w:left="0" w:firstLine="42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2、地点：“苏采云”系统自行下载磋商文件</w:t>
      </w:r>
      <w:r/>
    </w:p>
    <w:p>
      <w:pPr>
        <w:pStyle w:val="673"/>
        <w:ind w:left="0" w:firstLine="42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lang w:val="en-US" w:eastAsia="zh-CN"/>
        </w:rPr>
        <w:t xml:space="preserve">3、</w:t>
      </w:r>
      <w:r>
        <w:rPr>
          <w:rFonts w:hint="eastAsia" w:ascii="宋体" w:hAnsi="宋体" w:eastAsia="宋体" w:cs="宋体"/>
          <w:bCs/>
          <w:color w:val="auto"/>
          <w:sz w:val="21"/>
          <w:szCs w:val="21"/>
          <w:highlight w:val="none"/>
          <w:shd w:val="clear" w:color="auto" w:fill="ffffff"/>
        </w:rPr>
        <w:t xml:space="preserve">售价：0元</w:t>
      </w:r>
      <w:r>
        <w:rPr>
          <w:rFonts w:hint="eastAsia" w:ascii="宋体" w:hAnsi="宋体" w:eastAsia="宋体" w:cs="宋体"/>
          <w:bCs/>
          <w:color w:val="auto"/>
          <w:sz w:val="21"/>
          <w:szCs w:val="21"/>
          <w:highlight w:val="none"/>
          <w:shd w:val="clear" w:color="auto" w:fill="ffffff"/>
          <w:lang w:eastAsia="zh-CN"/>
        </w:rPr>
        <w:t xml:space="preserve">。</w:t>
      </w:r>
      <w:r/>
    </w:p>
    <w:p>
      <w:pPr>
        <w:pStyle w:val="673"/>
        <w:ind w:left="0" w:firstLine="422"/>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五、提交响应文件截止时间</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1、响应文件接收截止时间：2026年</w:t>
      </w:r>
      <w:r>
        <w:rPr>
          <w:rFonts w:hint="eastAsia" w:ascii="宋体" w:hAnsi="宋体" w:eastAsia="宋体" w:cs="宋体"/>
          <w:bCs/>
          <w:color w:val="auto"/>
          <w:sz w:val="21"/>
          <w:szCs w:val="21"/>
          <w:highlight w:val="none"/>
          <w:shd w:val="clear" w:color="auto" w:fill="ffffff"/>
          <w:lang w:val="en-US" w:eastAsia="zh-CN"/>
        </w:rPr>
        <w:t xml:space="preserve">  </w:t>
      </w:r>
      <w:r>
        <w:rPr>
          <w:rFonts w:hint="eastAsia" w:ascii="宋体" w:hAnsi="宋体" w:eastAsia="宋体" w:cs="宋体"/>
          <w:bCs/>
          <w:color w:val="auto"/>
          <w:sz w:val="21"/>
          <w:szCs w:val="21"/>
          <w:highlight w:val="none"/>
          <w:shd w:val="clear" w:color="auto" w:fill="ffffff"/>
        </w:rPr>
        <w:t xml:space="preserve">2月</w:t>
      </w:r>
      <w:r>
        <w:rPr>
          <w:rFonts w:hint="eastAsia" w:ascii="宋体" w:hAnsi="宋体" w:eastAsia="宋体" w:cs="宋体"/>
          <w:bCs/>
          <w:color w:val="auto"/>
          <w:sz w:val="21"/>
          <w:szCs w:val="21"/>
          <w:highlight w:val="none"/>
          <w:shd w:val="clear" w:color="auto" w:fill="ffffff"/>
          <w:lang w:val="en-US" w:eastAsia="zh-CN"/>
        </w:rPr>
        <w:t xml:space="preserve">  </w:t>
      </w:r>
      <w:r>
        <w:rPr>
          <w:rFonts w:hint="eastAsia" w:ascii="宋体" w:hAnsi="宋体" w:eastAsia="宋体" w:cs="宋体"/>
          <w:bCs/>
          <w:color w:val="auto"/>
          <w:sz w:val="21"/>
          <w:szCs w:val="21"/>
          <w:highlight w:val="none"/>
          <w:shd w:val="clear" w:color="auto" w:fill="ffffff"/>
        </w:rPr>
        <w:t xml:space="preserve">26日14点00分（北京时间）。</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2、开启时间：2026年  2月  26日14点00分（北京时间）</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3、地点：“苏采云”系统（网址：http://jszfcg.jsczt.cn/）</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4、线上参加开标会方式：供应商登录“苏采云”系统，点击“开标大厅”，选择对应项目，点击进入不见面开标系统。</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请供应商确保电脑、系统及其他设备（视频输入输出设备等）无误，且开标直至项目结束始终保持系统在线状态。</w:t>
      </w:r>
      <w:r/>
    </w:p>
    <w:p>
      <w:pPr>
        <w:pStyle w:val="673"/>
        <w:numPr>
          <w:ilvl w:val="0"/>
          <w:numId w:val="1"/>
        </w:numPr>
        <w:ind w:left="0" w:firstLine="422"/>
        <w:spacing w:line="360" w:lineRule="auto"/>
        <w:rPr>
          <w:rFonts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公告期限 </w:t>
      </w:r>
      <w:r/>
    </w:p>
    <w:p>
      <w:pPr>
        <w:pStyle w:val="673"/>
        <w:ind w:left="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自本公告发布之日起三个工作日。</w:t>
      </w:r>
      <w:r/>
    </w:p>
    <w:p>
      <w:pPr>
        <w:pStyle w:val="673"/>
        <w:ind w:left="0" w:firstLine="422"/>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七、其他补充事宜</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1、为本项目提供整体设计、规范编制等服务的供应商：无。</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2、单位负责人为同一人或者存在直接控股、管理关系的不同供应商，不得参加同一合同项下的政府采购活动。</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3、为本项目提供整体设计、规范编制或者项目管理、监理、监测等服务的供应商，不得再参加该采购项目及其他相关的采购活动。</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4、CA证书办理</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w:t>
      </w:r>
      <w:r>
        <w:rPr>
          <w:rFonts w:hint="eastAsia" w:ascii="宋体" w:hAnsi="宋体" w:eastAsia="宋体" w:cs="宋体"/>
          <w:bCs/>
          <w:color w:val="auto"/>
          <w:sz w:val="21"/>
          <w:szCs w:val="21"/>
          <w:highlight w:val="none"/>
          <w:shd w:val="clear" w:color="auto" w:fill="ffffff"/>
        </w:rPr>
        <w:t xml:space="preserve">持“苏采云”系统下的政务CA证书，江苏省内各地区办理的“苏采云”系统下的政务CA证书全省通用。苏州现场办理地址：苏州市高新区邓蔚路105号狮山科技馆一楼服务大厅，咨询电话：0512-65737699。</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5、依法获取磋商文件</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供应商插入CA证书登陆“苏采云”系统后选</w:t>
      </w:r>
      <w:r>
        <w:rPr>
          <w:rFonts w:hint="eastAsia" w:ascii="宋体" w:hAnsi="宋体" w:eastAsia="宋体" w:cs="宋体"/>
          <w:bCs/>
          <w:color w:val="auto"/>
          <w:sz w:val="21"/>
          <w:szCs w:val="21"/>
          <w:highlight w:val="none"/>
          <w:shd w:val="clear" w:color="auto" w:fill="ffffff"/>
        </w:rPr>
        <w:t xml:space="preserve">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未依照磋商公告要求提交《投标供应商确认函》的供应商，视为未参与该项政府采购活动，不具备对该政府采购项目提出质疑的法定权利，但因供应商资格条件或获取磋商文件时间设定不符合有关法律法规规定等原因使供应商权益受损的除外。</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7、本公告同时在苏州市政府采购网、江苏省政府采购网、中国政府采购网上发布。</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8、本项目获取招标文件截止日期之后仍可以下载招标（采购）文件，但截止日期之后下载的招标（采购）文件，视为非有效方式且不作为供应商权益受到损害的证明材料和依据。</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9、如不同投标文件制作机器码一致，则投标（响应）无效。</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10、制作电子投标（响应）文件：</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本项目采用电子招投标形式，请供应商按照《苏采云系统供应商操作手册》（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11、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12、技术支持：</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CA技术咨询服务电话：400-608-6099</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电子签章技术咨询服务电话：15380932027、15371015030 、13675197356、13675197221</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“苏采云”平台技术咨询电话：0512-69820854、0519-86722802、13914088964、18261002950</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13、本项目支持政府采购合同信用融资。</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14、政府采购监督电话：0512-66681110。</w:t>
      </w:r>
      <w:r/>
    </w:p>
    <w:p>
      <w:pPr>
        <w:pStyle w:val="673"/>
        <w:ind w:left="0" w:firstLine="422"/>
        <w:spacing w:line="360" w:lineRule="auto"/>
        <w:rPr>
          <w:rFonts w:ascii="宋体" w:hAnsi="宋体" w:eastAsia="宋体" w:cs="宋体"/>
          <w:b/>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八、对本次招标提出询问，请按以下方式联系</w:t>
      </w:r>
      <w:r/>
    </w:p>
    <w:p>
      <w:pPr>
        <w:pStyle w:val="673"/>
        <w:ind w:left="0" w:firstLine="420"/>
        <w:keepLines w:val="0"/>
        <w:keepNext w:val="0"/>
        <w:pageBreakBefore w:val="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1.采购人信息</w:t>
      </w:r>
      <w:r/>
    </w:p>
    <w:p>
      <w:pPr>
        <w:pStyle w:val="673"/>
        <w:ind w:left="0" w:firstLine="420"/>
        <w:keepLines w:val="0"/>
        <w:keepNext w:val="0"/>
        <w:pageBreakBefore w:val="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Cs/>
          <w:color w:val="auto"/>
          <w:sz w:val="21"/>
          <w:szCs w:val="21"/>
          <w:highlight w:val="none"/>
          <w:shd w:val="clear" w:color="auto" w:fill="ffffff"/>
        </w:rPr>
        <w:t xml:space="preserve">名 称：</w:t>
      </w:r>
      <w:r>
        <w:rPr>
          <w:rFonts w:hint="eastAsia" w:ascii="宋体" w:hAnsi="宋体" w:eastAsia="宋体" w:cs="宋体"/>
          <w:bCs/>
          <w:color w:val="auto"/>
          <w:sz w:val="21"/>
          <w:szCs w:val="21"/>
          <w:highlight w:val="none"/>
          <w:shd w:val="clear" w:color="auto" w:fill="ffffff"/>
          <w:lang w:eastAsia="zh-CN"/>
        </w:rPr>
        <w:t xml:space="preserve">苏州工业园区金鸡湖社区卫生服务中心</w:t>
      </w:r>
      <w:r/>
    </w:p>
    <w:p>
      <w:pPr>
        <w:pStyle w:val="673"/>
        <w:ind w:left="0" w:firstLine="420"/>
        <w:keepLines w:val="0"/>
        <w:keepNext w:val="0"/>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单位地址：江苏省苏州市苏州工业园区苏茜路46号</w:t>
      </w:r>
      <w:r/>
    </w:p>
    <w:p>
      <w:pPr>
        <w:pStyle w:val="673"/>
        <w:ind w:left="0" w:firstLine="420"/>
        <w:keepLines w:val="0"/>
        <w:keepNext w:val="0"/>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联系人：赵永春</w:t>
      </w:r>
      <w:r/>
    </w:p>
    <w:p>
      <w:pPr>
        <w:pStyle w:val="673"/>
        <w:ind w:left="0" w:firstLine="420"/>
        <w:keepLines w:val="0"/>
        <w:keepNext w:val="0"/>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联系电话：</w:t>
      </w:r>
      <w:r>
        <w:rPr>
          <w:rFonts w:hint="eastAsia" w:ascii="宋体" w:hAnsi="宋体" w:eastAsia="宋体" w:cs="宋体"/>
          <w:bCs/>
          <w:color w:val="auto"/>
          <w:sz w:val="21"/>
          <w:szCs w:val="21"/>
          <w:highlight w:val="none"/>
          <w:shd w:val="clear" w:color="auto" w:fill="ffffff"/>
          <w:lang w:val="en-US" w:eastAsia="zh-CN"/>
        </w:rPr>
        <w:t xml:space="preserve">0512-</w:t>
      </w:r>
      <w:r>
        <w:rPr>
          <w:rFonts w:hint="eastAsia" w:ascii="宋体" w:hAnsi="宋体" w:eastAsia="宋体" w:cs="宋体"/>
          <w:bCs/>
          <w:color w:val="auto"/>
          <w:sz w:val="21"/>
          <w:szCs w:val="21"/>
          <w:highlight w:val="none"/>
          <w:shd w:val="clear" w:color="auto" w:fill="ffffff"/>
        </w:rPr>
        <w:t xml:space="preserve">69996346</w:t>
      </w:r>
      <w:r/>
    </w:p>
    <w:p>
      <w:pPr>
        <w:pStyle w:val="673"/>
        <w:ind w:left="0" w:firstLine="420"/>
        <w:keepLines w:val="0"/>
        <w:keepNext w:val="0"/>
        <w:pageBreakBefore w:val="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2.采购代理机构信息</w:t>
      </w:r>
      <w:r/>
    </w:p>
    <w:p>
      <w:pPr>
        <w:pStyle w:val="673"/>
        <w:ind w:left="0" w:firstLine="420"/>
        <w:keepLines w:val="0"/>
        <w:keepNext w:val="0"/>
        <w:pageBreakBefore w:val="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名 称：苏州捷信招投标咨询有限公司</w:t>
      </w:r>
      <w:r/>
    </w:p>
    <w:p>
      <w:pPr>
        <w:pStyle w:val="673"/>
        <w:ind w:left="0" w:firstLine="420"/>
        <w:keepLines w:val="0"/>
        <w:keepNext w:val="0"/>
        <w:pageBreakBefore w:val="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地址：苏州市南园北路118号天和商务大厦6-206</w:t>
      </w:r>
      <w:r/>
    </w:p>
    <w:p>
      <w:pPr>
        <w:ind w:firstLine="420"/>
        <w:jc w:val="left"/>
        <w:keepLines w:val="0"/>
        <w:keepNext w:val="0"/>
        <w:pageBreakBefore w:val="0"/>
        <w:spacing w:line="360" w:lineRule="auto"/>
        <w:widowControl/>
        <w:rPr>
          <w:rFonts w:hint="default" w:ascii="宋体" w:hAnsi="宋体" w:eastAsia="宋体" w:cs="宋体"/>
          <w:bCs/>
          <w:color w:val="auto"/>
          <w:sz w:val="21"/>
          <w:szCs w:val="21"/>
          <w:highlight w:val="none"/>
          <w:shd w:val="clear" w:color="auto" w:fill="ffffff"/>
          <w:lang w:val="en-US" w:eastAsia="zh-CN"/>
        </w:rPr>
        <w:suppressLineNumbers w:val="0"/>
      </w:pPr>
      <w:r>
        <w:rPr>
          <w:rFonts w:hint="eastAsia" w:ascii="宋体" w:hAnsi="宋体" w:eastAsia="宋体" w:cs="宋体"/>
          <w:bCs/>
          <w:color w:val="auto"/>
          <w:sz w:val="21"/>
          <w:szCs w:val="21"/>
          <w:highlight w:val="none"/>
          <w:shd w:val="clear" w:color="auto" w:fill="ffffff"/>
        </w:rPr>
        <w:t xml:space="preserve">联系人：</w:t>
      </w:r>
      <w:r>
        <w:rPr>
          <w:rFonts w:hint="eastAsia" w:ascii="宋体" w:hAnsi="宋体" w:eastAsia="宋体" w:cs="宋体"/>
          <w:bCs/>
          <w:color w:val="auto"/>
          <w:sz w:val="21"/>
          <w:szCs w:val="21"/>
          <w:highlight w:val="none"/>
          <w:shd w:val="clear" w:color="auto" w:fill="ffffff"/>
          <w:lang w:val="en-US" w:eastAsia="zh-CN" w:bidi="ar"/>
        </w:rPr>
        <w:t xml:space="preserve">汪业超</w:t>
      </w:r>
      <w:r>
        <w:rPr>
          <w:rFonts w:hint="eastAsia" w:ascii="宋体" w:hAnsi="宋体" w:eastAsia="宋体" w:cs="宋体"/>
          <w:bCs/>
          <w:color w:val="auto"/>
          <w:sz w:val="21"/>
          <w:szCs w:val="21"/>
          <w:highlight w:val="none"/>
          <w:shd w:val="clear" w:color="auto" w:fill="ffffff"/>
        </w:rPr>
        <w:t xml:space="preserve">（项目负责人）、丁亚萍</w:t>
      </w:r>
      <w:r>
        <w:rPr>
          <w:rFonts w:hint="eastAsia" w:ascii="宋体" w:hAnsi="宋体" w:cs="宋体"/>
          <w:bCs/>
          <w:color w:val="auto"/>
          <w:sz w:val="21"/>
          <w:szCs w:val="21"/>
          <w:highlight w:val="none"/>
          <w:shd w:val="clear" w:color="auto" w:fill="ffffff"/>
          <w:lang w:eastAsia="zh-CN"/>
        </w:rPr>
        <w:t xml:space="preserve">、</w:t>
      </w:r>
      <w:r>
        <w:rPr>
          <w:rFonts w:hint="eastAsia" w:ascii="宋体" w:hAnsi="宋体" w:cs="宋体"/>
          <w:bCs/>
          <w:color w:val="auto"/>
          <w:sz w:val="21"/>
          <w:szCs w:val="21"/>
          <w:highlight w:val="none"/>
          <w:shd w:val="clear" w:color="auto" w:fill="ffffff"/>
          <w:lang w:val="en-US" w:eastAsia="zh-CN"/>
        </w:rPr>
        <w:t xml:space="preserve">张瑾</w:t>
      </w:r>
      <w:r/>
    </w:p>
    <w:p>
      <w:pPr>
        <w:pStyle w:val="673"/>
        <w:ind w:left="0" w:firstLine="420"/>
        <w:keepLines w:val="0"/>
        <w:keepNext w:val="0"/>
        <w:pageBreakBefore w:val="0"/>
        <w:spacing w:line="360" w:lineRule="auto"/>
        <w:rPr>
          <w:rFonts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联系方式：0512-65200361</w:t>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673"/>
        <w:ind w:left="0" w:firstLine="420"/>
        <w:spacing w:line="360" w:lineRule="auto"/>
        <w:rPr>
          <w:rFonts w:ascii="宋体" w:hAnsi="宋体" w:eastAsia="宋体" w:cs="宋体"/>
          <w:bCs/>
          <w:color w:val="auto"/>
          <w:sz w:val="21"/>
          <w:szCs w:val="21"/>
          <w:highlight w:val="none"/>
          <w:shd w:val="clear" w:color="auto" w:fill="ffffff"/>
        </w:rPr>
      </w:pPr>
      <w:r>
        <w:rPr>
          <w:rFonts w:ascii="宋体" w:hAnsi="宋体" w:eastAsia="宋体" w:cs="宋体"/>
          <w:bCs/>
          <w:color w:val="auto"/>
          <w:sz w:val="21"/>
          <w:szCs w:val="21"/>
          <w:highlight w:val="none"/>
          <w:shd w:val="clear" w:color="auto" w:fill="ffffff"/>
        </w:rPr>
      </w:r>
      <w:r/>
    </w:p>
    <w:p>
      <w:pPr>
        <w:pStyle w:val="657"/>
        <w:jc w:val="center"/>
        <w:rPr>
          <w:rFonts w:ascii="宋体" w:hAnsi="宋体"/>
          <w:b w:val="0"/>
          <w:color w:val="auto"/>
          <w:sz w:val="32"/>
          <w:szCs w:val="32"/>
          <w:highlight w:val="none"/>
        </w:rPr>
      </w:pPr>
      <w:r/>
      <w:bookmarkStart w:id="0" w:name="_Toc28625"/>
      <w:r/>
      <w:bookmarkStart w:id="1" w:name="_Toc30435"/>
      <w:r>
        <w:rPr>
          <w:rFonts w:hint="eastAsia" w:ascii="宋体" w:hAnsi="宋体"/>
          <w:color w:val="auto"/>
          <w:sz w:val="32"/>
          <w:szCs w:val="32"/>
          <w:highlight w:val="none"/>
        </w:rPr>
        <w:t xml:space="preserve">第二章</w:t>
      </w:r>
      <w:r>
        <w:rPr>
          <w:rFonts w:ascii="宋体" w:hAnsi="宋体"/>
          <w:color w:val="auto"/>
          <w:sz w:val="32"/>
          <w:szCs w:val="32"/>
          <w:highlight w:val="none"/>
        </w:rPr>
        <w:t xml:space="preserve"> </w:t>
      </w:r>
      <w:r>
        <w:rPr>
          <w:rFonts w:hint="eastAsia" w:ascii="宋体" w:hAnsi="宋体"/>
          <w:color w:val="auto"/>
          <w:sz w:val="32"/>
          <w:szCs w:val="32"/>
          <w:highlight w:val="none"/>
        </w:rPr>
        <w:t xml:space="preserve">磋商响应文件格式</w:t>
      </w:r>
      <w:bookmarkEnd w:id="0"/>
      <w:r/>
      <w:bookmarkEnd w:id="1"/>
      <w:r/>
      <w:r/>
    </w:p>
    <w:p>
      <w:pPr>
        <w:pStyle w:val="669"/>
        <w:ind w:firstLine="0"/>
        <w:jc w:val="both"/>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说明：</w:t>
      </w:r>
      <w:r/>
    </w:p>
    <w:p>
      <w:pPr>
        <w:pStyle w:val="669"/>
        <w:ind w:firstLine="482"/>
        <w:jc w:val="both"/>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对本章所有的磋商响应文件格式 ，除注明允许修改的文件外，响应单位均应按照本章提供的格式填写，否则作为无效标。允许修改的文件，响应单位可根据自身情况进行补充和修改，但补充和修改不得造成与原格式内容有实质性的违背。</w:t>
      </w:r>
      <w:r/>
    </w:p>
    <w:p>
      <w:pPr>
        <w:pStyle w:val="673"/>
        <w:ind w:left="0"/>
        <w:spacing w:line="360" w:lineRule="auto"/>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rPr>
          <w:rFonts w:ascii="宋体" w:hAnsi="宋体" w:cs="宋体"/>
          <w:b/>
          <w:color w:val="auto"/>
          <w:sz w:val="52"/>
          <w:szCs w:val="52"/>
          <w:highlight w:val="none"/>
          <w:shd w:val="clear" w:color="auto" w:fill="ffffff"/>
        </w:rPr>
      </w:pPr>
      <w:r>
        <w:rPr>
          <w:rFonts w:ascii="宋体" w:hAnsi="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69"/>
        <w:ind w:firstLine="0"/>
        <w:jc w:val="both"/>
        <w:spacing w:line="360" w:lineRule="auto"/>
        <w:rPr>
          <w:rFonts w:ascii="宋体" w:hAnsi="宋体"/>
          <w:b/>
          <w:color w:val="auto"/>
          <w:sz w:val="21"/>
          <w:szCs w:val="21"/>
          <w:highlight w:val="none"/>
        </w:rPr>
        <w:outlineLvl w:val="1"/>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rPr>
          <w:rFonts w:ascii="宋体" w:hAnsi="宋体"/>
          <w:b/>
          <w:color w:val="auto"/>
          <w:sz w:val="21"/>
          <w:szCs w:val="21"/>
          <w:highlight w:val="none"/>
        </w:rPr>
      </w:pPr>
      <w:r>
        <w:rPr>
          <w:rFonts w:ascii="宋体" w:hAnsi="宋体"/>
          <w:b/>
          <w:color w:val="auto"/>
          <w:sz w:val="21"/>
          <w:szCs w:val="21"/>
          <w:highlight w:val="none"/>
        </w:rPr>
      </w:r>
      <w:r/>
    </w:p>
    <w:p>
      <w:pPr>
        <w:pStyle w:val="669"/>
        <w:ind w:firstLine="0"/>
        <w:jc w:val="both"/>
        <w:spacing w:line="360" w:lineRule="auto"/>
        <w:rPr>
          <w:rFonts w:ascii="宋体" w:hAnsi="宋体"/>
          <w:b/>
          <w:color w:val="auto"/>
          <w:sz w:val="21"/>
          <w:szCs w:val="21"/>
          <w:highlight w:val="none"/>
        </w:rPr>
        <w:outlineLvl w:val="1"/>
      </w:pP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、（供应商）法定代表人授权委托书</w:t>
      </w:r>
      <w:r/>
    </w:p>
    <w:p>
      <w:pPr>
        <w:pStyle w:val="669"/>
        <w:ind w:firstLine="0"/>
        <w:jc w:val="both"/>
        <w:spacing w:line="360" w:lineRule="auto"/>
        <w:rPr>
          <w:rFonts w:ascii="宋体" w:hAnsi="宋体"/>
          <w:color w:val="auto"/>
          <w:sz w:val="21"/>
          <w:szCs w:val="21"/>
          <w:highlight w:val="none"/>
        </w:rPr>
      </w:pPr>
      <w:r>
        <w:rPr>
          <w:rFonts w:ascii="宋体" w:hAnsi="宋体"/>
          <w:color w:val="auto"/>
          <w:sz w:val="21"/>
          <w:szCs w:val="21"/>
          <w:highlight w:val="none"/>
        </w:rPr>
      </w:r>
      <w:r/>
    </w:p>
    <w:p>
      <w:pPr>
        <w:pStyle w:val="669"/>
        <w:ind w:firstLine="0"/>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授权委托书</w:t>
      </w:r>
      <w:r/>
    </w:p>
    <w:p>
      <w:pPr>
        <w:pStyle w:val="669"/>
        <w:ind w:firstLine="0"/>
        <w:jc w:val="both"/>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（姓名）系</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（响应人名称）的法定代表人，现授权委托</w:t>
      </w:r>
      <w:r>
        <w:rPr>
          <w:rFonts w:ascii="宋体" w:hAnsi="宋体"/>
          <w:color w:val="auto"/>
          <w:szCs w:val="21"/>
          <w:highlight w:val="none"/>
          <w:u w:val="single"/>
        </w:rPr>
        <w:t xml:space="preserve">        </w:t>
      </w:r>
      <w:r>
        <w:rPr>
          <w:rFonts w:hint="eastAsia" w:ascii="宋体" w:hAnsi="宋体"/>
          <w:color w:val="auto"/>
          <w:szCs w:val="21"/>
          <w:highlight w:val="none"/>
        </w:rPr>
        <w:t xml:space="preserve">（姓名+身份证号码）为我公司代理人，以本公司的名义参加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（采购人名称）组织实施的编号为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代理人无转委托权。特此委托。</w:t>
      </w:r>
      <w:r/>
    </w:p>
    <w:p>
      <w:pPr>
        <w:ind w:right="960"/>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right="960"/>
        <w:spacing w:line="440" w:lineRule="exact"/>
        <w:widowControl/>
        <w:rPr>
          <w:rFonts w:ascii="宋体" w:hAnsi="宋体" w:cs="宋体"/>
          <w:color w:val="auto"/>
          <w:szCs w:val="21"/>
          <w:highlight w:val="none"/>
        </w:rPr>
      </w:pPr>
      <w:r>
        <w:rPr>
          <w:rFonts w:ascii="宋体" w:hAnsi="宋体" w:cs="宋体"/>
          <w:color w:val="auto"/>
          <w:szCs w:val="21"/>
          <w:highlight w:val="none"/>
        </w:rPr>
      </w:r>
      <w:r/>
    </w:p>
    <w:p>
      <w:pPr>
        <w:ind w:right="105"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94"/>
        <w:ind w:left="0" w:firstLine="0"/>
        <w:spacing w:after="0" w:line="360" w:lineRule="auto"/>
        <w:rPr>
          <w:rFonts w:ascii="宋体" w:hAnsi="宋体" w:eastAsia="宋体" w:cs="宋体"/>
          <w:b/>
          <w:color w:val="auto"/>
          <w:sz w:val="21"/>
          <w:szCs w:val="21"/>
          <w:highlight w:val="none"/>
          <w:shd w:val="clear" w:color="auto" w:fill="ffffff"/>
        </w:rPr>
      </w:pPr>
      <w:r>
        <w:rPr>
          <w:rFonts w:ascii="宋体" w:hAnsi="宋体" w:eastAsia="宋体"/>
          <w:b/>
          <w:color w:val="auto"/>
          <w:sz w:val="21"/>
          <w:szCs w:val="21"/>
          <w:highlight w:val="none"/>
        </w:rPr>
        <w:br w:type="page" w:clear="all"/>
      </w:r>
      <w:r/>
    </w:p>
    <w:p>
      <w:pPr>
        <w:pStyle w:val="669"/>
        <w:ind w:firstLine="0"/>
        <w:jc w:val="both"/>
        <w:spacing w:line="360" w:lineRule="auto"/>
        <w:rPr>
          <w:rFonts w:hAnsi="宋体"/>
          <w:b/>
          <w:color w:val="auto"/>
          <w:sz w:val="21"/>
          <w:szCs w:val="21"/>
          <w:highlight w:val="none"/>
        </w:rPr>
        <w:outlineLvl w:val="1"/>
      </w:pPr>
      <w:r>
        <w:rPr>
          <w:rFonts w:hint="eastAsia" w:ascii="宋体" w:hAnsi="宋体"/>
          <w:b/>
          <w:color w:val="auto"/>
          <w:sz w:val="21"/>
          <w:szCs w:val="21"/>
          <w:highlight w:val="none"/>
        </w:rPr>
        <w:t xml:space="preserve">2、投标（响应）函</w:t>
      </w:r>
      <w:r/>
    </w:p>
    <w:p>
      <w:pPr>
        <w:pStyle w:val="849"/>
        <w:jc w:val="center"/>
        <w:spacing w:line="360" w:lineRule="auto"/>
        <w:rPr>
          <w:rFonts w:hAnsi="宋体"/>
          <w:b/>
          <w:color w:val="auto"/>
          <w:szCs w:val="21"/>
          <w:highlight w:val="none"/>
        </w:rPr>
      </w:pPr>
      <w:r>
        <w:rPr>
          <w:rFonts w:hint="eastAsia" w:hAnsi="宋体"/>
          <w:b/>
          <w:color w:val="auto"/>
          <w:szCs w:val="21"/>
          <w:highlight w:val="none"/>
        </w:rPr>
        <w:t xml:space="preserve">投标（响应）函</w:t>
      </w:r>
      <w:r/>
    </w:p>
    <w:p>
      <w:pPr>
        <w:pStyle w:val="676"/>
        <w:rPr>
          <w:rFonts w:hAnsi="宋体"/>
          <w:color w:val="auto"/>
          <w:szCs w:val="21"/>
          <w:highlight w:val="none"/>
          <w:u w:val="single"/>
        </w:rPr>
      </w:pPr>
      <w:r>
        <w:rPr>
          <w:rFonts w:hint="eastAsia" w:hAnsi="宋体"/>
          <w:color w:val="auto"/>
          <w:szCs w:val="21"/>
          <w:highlight w:val="none"/>
          <w:u w:val="single"/>
          <w:lang w:eastAsia="zh-CN"/>
        </w:rPr>
        <w:t xml:space="preserve">苏州工业园区金鸡湖社区卫生服务中心</w:t>
      </w:r>
      <w:r>
        <w:rPr>
          <w:rFonts w:hint="eastAsia" w:hAnsi="宋体"/>
          <w:color w:val="auto"/>
          <w:szCs w:val="21"/>
          <w:highlight w:val="none"/>
          <w:u w:val="single"/>
        </w:rPr>
        <w:t xml:space="preserve">：</w:t>
      </w:r>
      <w:r/>
    </w:p>
    <w:p>
      <w:pPr>
        <w:pStyle w:val="849"/>
        <w:ind w:firstLine="420"/>
        <w:rPr>
          <w:rFonts w:hAnsi="宋体"/>
          <w:color w:val="auto"/>
          <w:szCs w:val="21"/>
          <w:highlight w:val="none"/>
        </w:rPr>
      </w:pPr>
      <w:r>
        <w:rPr>
          <w:rFonts w:hAnsi="宋体"/>
          <w:color w:val="auto"/>
          <w:szCs w:val="21"/>
          <w:highlight w:val="none"/>
        </w:rPr>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我们收到贵方</w:t>
      </w:r>
      <w:r>
        <w:rPr>
          <w:rFonts w:hint="eastAsia" w:hAnsi="宋体"/>
          <w:color w:val="auto"/>
          <w:szCs w:val="21"/>
          <w:highlight w:val="none"/>
          <w:u w:val="single"/>
        </w:rPr>
        <w:t xml:space="preserve">             </w:t>
      </w:r>
      <w:r>
        <w:rPr>
          <w:rFonts w:hint="eastAsia" w:hAnsi="宋体"/>
          <w:color w:val="auto"/>
          <w:szCs w:val="21"/>
          <w:highlight w:val="none"/>
        </w:rPr>
        <w:t xml:space="preserve">号磋商文件，经仔细阅读和研究，我们决定参加磋商活动。</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我们愿意按照磋商文件的一切要求，提供完成该项目的全部内容，我们的报价包括完成该项目所有服务管理内容所需的报</w:t>
      </w:r>
      <w:r>
        <w:rPr>
          <w:rFonts w:hint="eastAsia" w:hAnsi="宋体"/>
          <w:color w:val="auto"/>
          <w:szCs w:val="21"/>
          <w:highlight w:val="none"/>
        </w:rPr>
        <w:t xml:space="preserve">价包括完成该项目所有服务管理内容所需的人工、机械设备、工具器具、燃料费、耗材、通讯、维护、技术支持与培训及相关劳务支出等工作所发生的全部费用以及企业管理费、利润、各种税金和政策性文件规定及合同包含的所有风险、责任等各项应有费用。</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2、如果我们的磋商响应文件被接受，我们将严格履行磋商文件中规定的每一项要求，按期、按质、按量履行合同的义务</w:t>
      </w:r>
      <w:r>
        <w:rPr>
          <w:rFonts w:hint="eastAsia" w:hAnsi="宋体"/>
          <w:color w:val="auto"/>
          <w:szCs w:val="21"/>
          <w:highlight w:val="none"/>
        </w:rPr>
        <w:t xml:space="preserve">。</w:t>
      </w:r>
      <w:r/>
    </w:p>
    <w:p>
      <w:pPr>
        <w:pStyle w:val="849"/>
        <w:ind w:firstLine="420"/>
        <w:spacing w:line="360" w:lineRule="auto"/>
        <w:rPr>
          <w:rFonts w:hAnsi="宋体"/>
          <w:color w:val="auto"/>
          <w:szCs w:val="21"/>
          <w:highlight w:val="none"/>
        </w:rPr>
      </w:pPr>
      <w:r>
        <w:rPr>
          <w:rFonts w:hAnsi="宋体"/>
          <w:color w:val="auto"/>
          <w:szCs w:val="21"/>
          <w:highlight w:val="none"/>
        </w:rPr>
        <w:t xml:space="preserve">3</w:t>
      </w:r>
      <w:r>
        <w:rPr>
          <w:rFonts w:hint="eastAsia" w:hAnsi="宋体"/>
          <w:color w:val="auto"/>
          <w:szCs w:val="21"/>
          <w:highlight w:val="none"/>
        </w:rPr>
        <w:t xml:space="preserve">、我们已</w:t>
      </w:r>
      <w:r>
        <w:rPr>
          <w:rFonts w:hAnsi="宋体"/>
          <w:color w:val="auto"/>
          <w:szCs w:val="21"/>
          <w:highlight w:val="none"/>
        </w:rPr>
        <w:t xml:space="preserve">详细审查全部</w:t>
      </w:r>
      <w:r>
        <w:rPr>
          <w:rFonts w:hint="eastAsia" w:hAnsi="宋体"/>
          <w:color w:val="auto"/>
          <w:szCs w:val="21"/>
          <w:highlight w:val="none"/>
        </w:rPr>
        <w:t xml:space="preserve">磋商文件</w:t>
      </w:r>
      <w:r>
        <w:rPr>
          <w:rFonts w:hAnsi="宋体"/>
          <w:color w:val="auto"/>
          <w:szCs w:val="21"/>
          <w:highlight w:val="none"/>
        </w:rPr>
        <w:t xml:space="preserve">，包括</w:t>
      </w:r>
      <w:r>
        <w:rPr>
          <w:rFonts w:hint="eastAsia" w:hAnsi="宋体"/>
          <w:color w:val="auto"/>
          <w:szCs w:val="21"/>
          <w:highlight w:val="none"/>
        </w:rPr>
        <w:t xml:space="preserve">更正公告</w:t>
      </w:r>
      <w:r>
        <w:rPr>
          <w:rFonts w:hAnsi="宋体"/>
          <w:color w:val="auto"/>
          <w:szCs w:val="21"/>
          <w:highlight w:val="none"/>
        </w:rPr>
        <w:t xml:space="preserve">(如</w:t>
      </w:r>
      <w:r>
        <w:rPr>
          <w:rFonts w:hint="eastAsia" w:hAnsi="宋体"/>
          <w:color w:val="auto"/>
          <w:szCs w:val="21"/>
          <w:highlight w:val="none"/>
        </w:rPr>
        <w:t xml:space="preserve">有</w:t>
      </w:r>
      <w:r>
        <w:rPr>
          <w:rFonts w:hAnsi="宋体"/>
          <w:color w:val="auto"/>
          <w:szCs w:val="21"/>
          <w:highlight w:val="none"/>
        </w:rPr>
        <w:t xml:space="preserve">)。我们完全理解并同意放弃对这方面有不明及误解的权力。</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4、我们同意按磋商文件中的规定，本磋商响应文件的有效期限为响应文件提交截止之日起九十天。</w:t>
      </w:r>
      <w:r/>
    </w:p>
    <w:p>
      <w:pPr>
        <w:pStyle w:val="849"/>
        <w:ind w:firstLine="420"/>
        <w:spacing w:line="360" w:lineRule="auto"/>
        <w:rPr>
          <w:rFonts w:hAnsi="宋体" w:cs="宋体"/>
          <w:color w:val="auto"/>
          <w:szCs w:val="21"/>
          <w:highlight w:val="none"/>
        </w:rPr>
      </w:pPr>
      <w:r>
        <w:rPr>
          <w:rFonts w:hint="eastAsia" w:hAnsi="宋体" w:cs="宋体"/>
          <w:color w:val="auto"/>
          <w:szCs w:val="21"/>
          <w:highlight w:val="none"/>
        </w:rPr>
        <w:t xml:space="preserve">5、我们愿意提供磋商采购人在磋商文件中要求的所有资料。</w:t>
      </w:r>
      <w:r/>
    </w:p>
    <w:p>
      <w:pPr>
        <w:pStyle w:val="849"/>
        <w:ind w:firstLine="420"/>
        <w:spacing w:line="360" w:lineRule="auto"/>
        <w:rPr>
          <w:rFonts w:hAnsi="宋体" w:cs="宋体"/>
          <w:color w:val="auto"/>
          <w:szCs w:val="21"/>
          <w:highlight w:val="none"/>
        </w:rPr>
      </w:pPr>
      <w:r>
        <w:rPr>
          <w:rFonts w:hint="eastAsia" w:hAnsi="宋体" w:cs="宋体"/>
          <w:color w:val="auto"/>
          <w:szCs w:val="21"/>
          <w:highlight w:val="none"/>
        </w:rPr>
        <w:t xml:space="preserve">6、我们愿意遵守磋商文件中所列的收费标准。</w:t>
      </w:r>
      <w:r/>
    </w:p>
    <w:p>
      <w:pPr>
        <w:pStyle w:val="671"/>
        <w:ind w:firstLine="420"/>
        <w:jc w:val="both"/>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7、我们承诺该磋商响应文件在磋商开始后的全过程中保持有效，不做任何更改和变动。</w:t>
      </w:r>
      <w:r/>
    </w:p>
    <w:p>
      <w:pPr>
        <w:pStyle w:val="671"/>
        <w:ind w:firstLine="420"/>
        <w:jc w:val="both"/>
        <w:spacing w:line="360" w:lineRule="auto"/>
        <w:rPr>
          <w:rFonts w:hAnsi="宋体"/>
          <w:color w:val="auto"/>
          <w:szCs w:val="21"/>
          <w:highlight w:val="none"/>
        </w:rPr>
      </w:pPr>
      <w:r>
        <w:rPr>
          <w:rFonts w:hint="eastAsia" w:ascii="宋体" w:hAnsi="宋体" w:cs="宋体"/>
          <w:color w:val="auto"/>
          <w:szCs w:val="21"/>
          <w:highlight w:val="none"/>
        </w:rPr>
        <w:t xml:space="preserve">8、</w:t>
      </w:r>
      <w:r>
        <w:rPr>
          <w:rFonts w:hint="eastAsia" w:ascii="宋体" w:hAnsi="宋体" w:cs="宋体"/>
          <w:b/>
          <w:bCs/>
          <w:color w:val="auto"/>
          <w:szCs w:val="21"/>
          <w:highlight w:val="none"/>
          <w:shd w:val="clear" w:color="auto" w:fill="ffffff"/>
        </w:rPr>
        <w:t xml:space="preserve">我们同意并接受采购人在磋商文件、签约合同以及未来合同履行过程中设定的所有日常考核及综合考核制度，并无条件接受及承担因考核不达标或不合格产生的一切责任及后果。</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9、我们承诺我公司符合磋商文件中“合格磋商供应商的一般条件和特殊条件”的要求，若与真实情况不符，本公司愿意承担由此而产生的一切后果。</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10、我们声明：我们在参加本次政府采购活动前3年内在经营活动中没有重大违法记录。</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11、如果我们成交，我们愿意按磋商文件的规定支付代理服务费和履约保证金。</w:t>
      </w:r>
      <w:r/>
    </w:p>
    <w:p>
      <w:pPr>
        <w:pStyle w:val="849"/>
        <w:ind w:firstLine="420"/>
        <w:spacing w:line="360" w:lineRule="auto"/>
        <w:rPr>
          <w:rFonts w:hAnsi="宋体"/>
          <w:color w:val="auto"/>
          <w:szCs w:val="21"/>
          <w:highlight w:val="none"/>
        </w:rPr>
      </w:pPr>
      <w:r>
        <w:rPr>
          <w:rFonts w:hAnsi="宋体"/>
          <w:color w:val="auto"/>
          <w:szCs w:val="21"/>
          <w:highlight w:val="none"/>
        </w:rPr>
        <w:t xml:space="preserve">1</w:t>
      </w:r>
      <w:r>
        <w:rPr>
          <w:rFonts w:hint="eastAsia" w:hAnsi="宋体"/>
          <w:color w:val="auto"/>
          <w:szCs w:val="21"/>
          <w:highlight w:val="none"/>
        </w:rPr>
        <w:t xml:space="preserve">2、综合说明：</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1</w:t>
      </w:r>
      <w:r>
        <w:rPr>
          <w:rFonts w:hint="eastAsia" w:hAnsi="宋体"/>
          <w:color w:val="auto"/>
          <w:szCs w:val="21"/>
          <w:highlight w:val="none"/>
        </w:rPr>
        <w:t xml:space="preserve">）伴随服务及配合措施；（</w:t>
      </w:r>
      <w:r>
        <w:rPr>
          <w:rFonts w:hAnsi="宋体"/>
          <w:color w:val="auto"/>
          <w:szCs w:val="21"/>
          <w:highlight w:val="none"/>
        </w:rPr>
        <w:t xml:space="preserve">2</w:t>
      </w:r>
      <w:r>
        <w:rPr>
          <w:rFonts w:hint="eastAsia" w:hAnsi="宋体"/>
          <w:color w:val="auto"/>
          <w:szCs w:val="21"/>
          <w:highlight w:val="none"/>
        </w:rPr>
        <w:t xml:space="preserve">）要求甲方提供的配合；</w:t>
      </w:r>
      <w:r/>
    </w:p>
    <w:p>
      <w:pPr>
        <w:pStyle w:val="849"/>
        <w:ind w:firstLine="420"/>
        <w:spacing w:line="360" w:lineRule="auto"/>
        <w:rPr>
          <w:rFonts w:hAnsi="宋体"/>
          <w:color w:val="auto"/>
          <w:szCs w:val="21"/>
          <w:highlight w:val="none"/>
        </w:rPr>
      </w:pPr>
      <w:r>
        <w:rPr>
          <w:rFonts w:hint="eastAsia" w:hAnsi="宋体"/>
          <w:color w:val="auto"/>
          <w:szCs w:val="21"/>
          <w:highlight w:val="none"/>
        </w:rPr>
        <w:t xml:space="preserve">（</w:t>
      </w:r>
      <w:r>
        <w:rPr>
          <w:rFonts w:hAnsi="宋体"/>
          <w:color w:val="auto"/>
          <w:szCs w:val="21"/>
          <w:highlight w:val="none"/>
        </w:rPr>
        <w:t xml:space="preserve">3</w:t>
      </w:r>
      <w:r>
        <w:rPr>
          <w:rFonts w:hint="eastAsia" w:hAnsi="宋体"/>
          <w:color w:val="auto"/>
          <w:szCs w:val="21"/>
          <w:highlight w:val="none"/>
        </w:rPr>
        <w:t xml:space="preserve">）对磋商文件有不同意见的偏离说明；（</w:t>
      </w:r>
      <w:r>
        <w:rPr>
          <w:rFonts w:hAnsi="宋体"/>
          <w:color w:val="auto"/>
          <w:szCs w:val="21"/>
          <w:highlight w:val="none"/>
        </w:rPr>
        <w:t xml:space="preserve">4</w:t>
      </w:r>
      <w:r>
        <w:rPr>
          <w:rFonts w:hint="eastAsia" w:hAnsi="宋体"/>
          <w:color w:val="auto"/>
          <w:szCs w:val="21"/>
          <w:highlight w:val="none"/>
        </w:rPr>
        <w:t xml:space="preserve">）其它说明。</w:t>
      </w:r>
      <w:r/>
    </w:p>
    <w:p>
      <w:pPr>
        <w:pStyle w:val="849"/>
        <w:ind w:firstLine="420"/>
        <w:rPr>
          <w:rFonts w:hAnsi="宋体"/>
          <w:color w:val="auto"/>
          <w:szCs w:val="21"/>
          <w:highlight w:val="none"/>
        </w:rPr>
      </w:pPr>
      <w:r>
        <w:rPr>
          <w:rFonts w:hAnsi="宋体"/>
          <w:color w:val="auto"/>
          <w:szCs w:val="21"/>
          <w:highlight w:val="none"/>
        </w:rPr>
      </w:r>
      <w:r/>
    </w:p>
    <w:p>
      <w:pPr>
        <w:pStyle w:val="849"/>
        <w:ind w:firstLine="420"/>
        <w:rPr>
          <w:rFonts w:hAnsi="宋体"/>
          <w:color w:val="auto"/>
          <w:szCs w:val="21"/>
          <w:highlight w:val="none"/>
        </w:rPr>
      </w:pPr>
      <w:r>
        <w:rPr>
          <w:rFonts w:hint="eastAsia" w:hAnsi="宋体"/>
          <w:color w:val="auto"/>
          <w:szCs w:val="21"/>
          <w:highlight w:val="none"/>
        </w:rPr>
        <w:t xml:space="preserve">所有有关磋商响应文件的函电，请按下列地址联系：</w:t>
      </w:r>
      <w:r/>
    </w:p>
    <w:p>
      <w:pPr>
        <w:pStyle w:val="849"/>
        <w:ind w:firstLine="420"/>
        <w:rPr>
          <w:rFonts w:hAnsi="宋体"/>
          <w:color w:val="auto"/>
          <w:szCs w:val="21"/>
          <w:highlight w:val="none"/>
        </w:rPr>
      </w:pPr>
      <w:r>
        <w:rPr>
          <w:rFonts w:hAnsi="宋体"/>
          <w:color w:val="auto"/>
          <w:szCs w:val="21"/>
          <w:highlight w:val="none"/>
        </w:rPr>
      </w:r>
      <w:r/>
    </w:p>
    <w:p>
      <w:pPr>
        <w:pStyle w:val="849"/>
        <w:ind w:firstLine="420"/>
        <w:rPr>
          <w:rFonts w:hAnsi="宋体"/>
          <w:color w:val="auto"/>
          <w:szCs w:val="21"/>
          <w:highlight w:val="none"/>
        </w:rPr>
      </w:pPr>
      <w:r>
        <w:rPr>
          <w:rFonts w:hint="eastAsia" w:hAnsi="宋体"/>
          <w:color w:val="auto"/>
          <w:szCs w:val="21"/>
          <w:highlight w:val="none"/>
        </w:rPr>
        <w:t xml:space="preserve">单位：                             联系人：</w:t>
      </w:r>
      <w:r/>
    </w:p>
    <w:p>
      <w:pPr>
        <w:pStyle w:val="849"/>
        <w:ind w:firstLine="420"/>
        <w:rPr>
          <w:rFonts w:hAnsi="宋体"/>
          <w:color w:val="auto"/>
          <w:szCs w:val="21"/>
          <w:highlight w:val="none"/>
        </w:rPr>
      </w:pPr>
      <w:r>
        <w:rPr>
          <w:rFonts w:hint="eastAsia" w:hAnsi="宋体"/>
          <w:color w:val="auto"/>
          <w:szCs w:val="21"/>
          <w:highlight w:val="none"/>
        </w:rPr>
        <w:t xml:space="preserve">地址：                             邮政编码：</w:t>
      </w:r>
      <w:r/>
    </w:p>
    <w:p>
      <w:pPr>
        <w:pStyle w:val="849"/>
        <w:ind w:firstLine="420"/>
        <w:rPr>
          <w:rFonts w:hAnsi="宋体"/>
          <w:color w:val="auto"/>
          <w:szCs w:val="21"/>
          <w:highlight w:val="none"/>
        </w:rPr>
      </w:pPr>
      <w:r>
        <w:rPr>
          <w:rFonts w:hint="eastAsia" w:hAnsi="宋体"/>
          <w:color w:val="auto"/>
          <w:szCs w:val="21"/>
          <w:highlight w:val="none"/>
        </w:rPr>
        <w:t xml:space="preserve">联系电话：                         传真：</w:t>
      </w:r>
      <w:r/>
    </w:p>
    <w:p>
      <w:pPr>
        <w:pStyle w:val="849"/>
        <w:ind w:firstLine="420"/>
        <w:rPr>
          <w:rFonts w:hAnsi="宋体"/>
          <w:color w:val="auto"/>
          <w:szCs w:val="21"/>
          <w:highlight w:val="none"/>
        </w:rPr>
      </w:pPr>
      <w:r>
        <w:rPr>
          <w:rFonts w:hint="eastAsia" w:hAnsi="宋体"/>
          <w:color w:val="auto"/>
          <w:szCs w:val="21"/>
          <w:highlight w:val="none"/>
        </w:rPr>
        <w:t xml:space="preserve">邮箱：</w:t>
      </w:r>
      <w:r/>
    </w:p>
    <w:p>
      <w:pPr>
        <w:ind w:right="105"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210"/>
        <w:jc w:val="right"/>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日期：  年  月  日</w:t>
      </w:r>
      <w:r/>
    </w:p>
    <w:p>
      <w:pPr>
        <w:jc w:val="both"/>
        <w:rPr>
          <w:rFonts w:ascii="宋体" w:hAnsi="宋体" w:cs="宋体"/>
          <w:b/>
          <w:color w:val="auto"/>
          <w:szCs w:val="21"/>
          <w:highlight w:val="none"/>
        </w:rPr>
        <w:outlineLvl w:val="1"/>
      </w:pPr>
      <w:r>
        <w:rPr>
          <w:rFonts w:hint="eastAsia" w:ascii="宋体" w:hAnsi="宋体" w:cs="宋体"/>
          <w:b/>
          <w:color w:val="auto"/>
          <w:szCs w:val="21"/>
          <w:highlight w:val="none"/>
        </w:rPr>
        <w:br w:type="page" w:clear="all"/>
      </w:r>
      <w:r/>
    </w:p>
    <w:p>
      <w:pPr>
        <w:pStyle w:val="669"/>
        <w:ind w:firstLine="0"/>
        <w:jc w:val="both"/>
        <w:spacing w:line="360" w:lineRule="auto"/>
        <w:rPr>
          <w:rFonts w:hAnsi="宋体" w:cs="宋体"/>
          <w:b/>
          <w:color w:val="auto"/>
          <w:sz w:val="21"/>
          <w:szCs w:val="21"/>
          <w:highlight w:val="none"/>
        </w:rPr>
        <w:outlineLvl w:val="1"/>
      </w:pPr>
      <w:r>
        <w:rPr>
          <w:rFonts w:hint="eastAsia" w:ascii="宋体" w:hAnsi="宋体" w:cs="宋体"/>
          <w:b/>
          <w:color w:val="auto"/>
          <w:sz w:val="21"/>
          <w:szCs w:val="21"/>
          <w:highlight w:val="none"/>
        </w:rPr>
        <w:t xml:space="preserve">3、</w:t>
      </w:r>
      <w:r>
        <w:rPr>
          <w:rFonts w:hint="eastAsia" w:hAnsi="宋体" w:cs="宋体"/>
          <w:b/>
          <w:color w:val="auto"/>
          <w:sz w:val="21"/>
          <w:szCs w:val="21"/>
          <w:highlight w:val="none"/>
        </w:rPr>
        <w:t xml:space="preserve">响应报价一览表 （总报价）</w:t>
      </w:r>
      <w:r/>
    </w:p>
    <w:p>
      <w:pPr>
        <w:pStyle w:val="849"/>
        <w:jc w:val="center"/>
        <w:spacing w:line="360" w:lineRule="auto"/>
        <w:rPr>
          <w:rFonts w:hAnsi="宋体" w:cs="宋体"/>
          <w:b/>
          <w:color w:val="auto"/>
          <w:szCs w:val="21"/>
          <w:highlight w:val="none"/>
        </w:rPr>
      </w:pPr>
      <w:r>
        <w:rPr>
          <w:rFonts w:hint="eastAsia" w:hAnsi="宋体" w:cs="宋体"/>
          <w:b/>
          <w:color w:val="auto"/>
          <w:szCs w:val="21"/>
          <w:highlight w:val="none"/>
        </w:rPr>
        <w:t xml:space="preserve">响应报价一览表 （总报价）</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项目编号：</w:t>
      </w:r>
      <w:r/>
    </w:p>
    <w:tbl>
      <w:tblPr>
        <w:tblStyle w:val="667"/>
        <w:tblW w:w="9673" w:type="dxa"/>
        <w:jc w:val="center"/>
        <w:tblLayout w:type="fixed"/>
        <w:tblCellMar>
          <w:left w:w="108" w:type="dxa"/>
          <w:top w:w="0" w:type="dxa"/>
          <w:right w:w="108" w:type="dxa"/>
          <w:bottom w:w="0" w:type="dxa"/>
        </w:tblCellMar>
        <w:tblLook w:val="04A0" w:firstRow="1" w:lastRow="0" w:firstColumn="1" w:lastColumn="0" w:noHBand="0" w:noVBand="1"/>
      </w:tblPr>
      <w:tblGrid>
        <w:gridCol w:w="4994"/>
        <w:gridCol w:w="4679"/>
      </w:tblGrid>
      <w:tr>
        <w:trPr>
          <w:jc w:val="center"/>
          <w:trHeight w:val="659"/>
        </w:trPr>
        <w:tc>
          <w:tcPr>
            <w:tcBorders>
              <w:top w:val="single" w:color="auto" w:sz="4" w:space="0"/>
              <w:left w:val="single" w:color="auto" w:sz="4" w:space="0"/>
              <w:bottom w:val="single" w:color="auto" w:sz="4" w:space="0"/>
              <w:right w:val="single" w:color="auto" w:sz="4" w:space="0"/>
            </w:tcBorders>
            <w:tcW w:w="499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4994"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Cs/>
                <w:color w:val="auto"/>
                <w:szCs w:val="21"/>
                <w:highlight w:val="none"/>
                <w:shd w:val="clear" w:color="auto" w:fill="ffffff"/>
                <w:lang w:eastAsia="zh-CN"/>
              </w:rPr>
              <w:t xml:space="preserve">金鸡湖社区卫生服务中心医疗设备运维服务</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4994"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响应总报价大写金额</w:t>
            </w:r>
            <w:r/>
          </w:p>
        </w:tc>
        <w:tc>
          <w:tcPr>
            <w:tcBorders>
              <w:top w:val="single" w:color="auto" w:sz="4" w:space="0"/>
              <w:left w:val="single" w:color="auto" w:sz="4" w:space="0"/>
              <w:bottom w:val="single" w:color="auto" w:sz="4" w:space="0"/>
              <w:right w:val="single" w:color="auto" w:sz="4" w:space="0"/>
            </w:tcBorders>
            <w:tcW w:w="4679" w:type="dxa"/>
            <w:vAlign w:val="center"/>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widowControl/>
        <w:rPr>
          <w:rFonts w:ascii="宋体" w:hAnsi="宋体" w:cs="宋体"/>
          <w:b/>
          <w:color w:val="auto"/>
          <w:szCs w:val="21"/>
          <w:highlight w:val="none"/>
        </w:rPr>
      </w:pPr>
      <w:r>
        <w:rPr>
          <w:rFonts w:ascii="宋体" w:hAnsi="宋体" w:cs="宋体"/>
          <w:b/>
          <w:color w:val="auto"/>
          <w:szCs w:val="21"/>
          <w:highlight w:val="none"/>
        </w:rPr>
      </w:r>
      <w:r/>
    </w:p>
    <w:p>
      <w:pPr>
        <w:ind w:left="1024" w:right="300" w:firstLine="231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ind w:left="1024" w:right="300" w:firstLine="2310"/>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694"/>
        <w:ind w:firstLine="422"/>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ind w:right="105"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firstLine="1044"/>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pStyle w:val="694"/>
        <w:ind w:left="0" w:firstLine="0"/>
        <w:rPr>
          <w:rFonts w:ascii="宋体" w:hAnsi="宋体" w:eastAsia="宋体" w:cs="宋体"/>
          <w:b/>
          <w:color w:val="auto"/>
          <w:sz w:val="52"/>
          <w:szCs w:val="52"/>
          <w:highlight w:val="none"/>
          <w:shd w:val="clear" w:color="auto" w:fill="ffffff"/>
        </w:rPr>
      </w:pPr>
      <w:r>
        <w:rPr>
          <w:rFonts w:ascii="宋体" w:hAnsi="宋体" w:eastAsia="宋体" w:cs="宋体"/>
          <w:b/>
          <w:color w:val="auto"/>
          <w:sz w:val="52"/>
          <w:szCs w:val="52"/>
          <w:highlight w:val="none"/>
          <w:shd w:val="clear" w:color="auto" w:fill="ffffff"/>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4、响应报价明细表</w:t>
      </w:r>
      <w:r/>
    </w:p>
    <w:p>
      <w:pPr>
        <w:ind w:right="357"/>
        <w:jc w:val="center"/>
        <w:spacing w:before="120" w:line="400" w:lineRule="exact"/>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响应报价明细表</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第一次报价</w:t>
      </w:r>
      <w:r>
        <w:rPr>
          <w:rFonts w:hint="eastAsia" w:ascii="宋体" w:hAnsi="宋体" w:cs="宋体"/>
          <w:b/>
          <w:bCs/>
          <w:color w:val="auto"/>
          <w:szCs w:val="21"/>
          <w:highlight w:val="none"/>
          <w:lang w:eastAsia="zh-CN"/>
        </w:rPr>
        <w:t xml:space="preserve">）</w:t>
      </w:r>
      <w:r/>
    </w:p>
    <w:p>
      <w:pPr>
        <w:pStyle w:val="850"/>
        <w:rPr>
          <w:rFonts w:hint="eastAsia" w:eastAsia="宋体"/>
          <w:color w:val="auto"/>
          <w:highlight w:val="none"/>
          <w:lang w:val="en-US" w:eastAsia="zh-CN"/>
        </w:rPr>
      </w:pPr>
      <w:r>
        <w:rPr>
          <w:rFonts w:hint="eastAsia" w:eastAsia="宋体"/>
          <w:color w:val="auto"/>
          <w:highlight w:val="none"/>
          <w:lang w:val="en-US" w:eastAsia="zh-CN"/>
        </w:rPr>
      </w:r>
      <w:r/>
    </w:p>
    <w:p>
      <w:pPr>
        <w:pStyle w:val="850"/>
        <w:rPr>
          <w:rFonts w:hint="eastAsia" w:eastAsia="宋体"/>
          <w:color w:val="auto"/>
          <w:highlight w:val="none"/>
          <w:lang w:val="en-US" w:eastAsia="zh-CN"/>
        </w:rPr>
      </w:pPr>
      <w:r>
        <w:rPr>
          <w:rFonts w:hint="eastAsia" w:eastAsia="宋体"/>
          <w:color w:val="auto"/>
          <w:highlight w:val="none"/>
          <w:lang w:val="en-US" w:eastAsia="zh-CN"/>
        </w:rPr>
        <w:t xml:space="preserve">自拟</w:t>
      </w:r>
      <w:r/>
    </w:p>
    <w:p>
      <w:pPr>
        <w:pStyle w:val="676"/>
        <w:spacing w:line="360" w:lineRule="auto"/>
        <w:rPr>
          <w:rFonts w:hAnsi="宋体" w:cs="宋体"/>
          <w:b/>
          <w:color w:val="auto"/>
          <w:szCs w:val="21"/>
          <w:highlight w:val="none"/>
        </w:rPr>
      </w:pPr>
      <w:r>
        <w:rPr>
          <w:rFonts w:hAnsi="宋体" w:cs="宋体"/>
          <w:b/>
          <w:color w:val="auto"/>
          <w:szCs w:val="21"/>
          <w:highlight w:val="none"/>
        </w:rPr>
      </w:r>
      <w:r/>
    </w:p>
    <w:p>
      <w:pPr>
        <w:ind w:right="105"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21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72"/>
        <w:rPr>
          <w:rFonts w:hint="eastAsia" w:ascii="宋体" w:hAnsi="宋体" w:cs="宋体"/>
          <w:color w:val="auto"/>
          <w:szCs w:val="21"/>
          <w:highlight w:val="none"/>
        </w:rPr>
      </w:pPr>
      <w:r>
        <w:rPr>
          <w:rFonts w:hint="eastAsia" w:ascii="宋体" w:hAnsi="宋体" w:cs="宋体"/>
          <w:color w:val="auto"/>
          <w:szCs w:val="21"/>
          <w:highlight w:val="none"/>
        </w:rPr>
      </w:r>
      <w:r/>
    </w:p>
    <w:p>
      <w:pPr>
        <w:pStyle w:val="694"/>
        <w:ind w:left="0" w:firstLine="522"/>
        <w:spacing w:after="0" w:line="360" w:lineRule="auto"/>
        <w:rPr>
          <w:rFonts w:ascii="宋体" w:hAnsi="宋体" w:eastAsia="宋体" w:cs="宋体"/>
          <w:bCs/>
          <w:color w:val="auto"/>
          <w:sz w:val="21"/>
          <w:szCs w:val="21"/>
          <w:highlight w:val="none"/>
        </w:rPr>
      </w:pPr>
      <w:r>
        <w:rPr>
          <w:rFonts w:ascii="宋体" w:hAnsi="宋体" w:eastAsia="宋体"/>
          <w:b/>
          <w:color w:val="auto"/>
          <w:highlight w:val="none"/>
        </w:rPr>
        <w:br w:type="page" w:clear="all"/>
      </w:r>
      <w:r/>
    </w:p>
    <w:p>
      <w:pPr>
        <w:pStyle w:val="669"/>
        <w:ind w:firstLine="0"/>
        <w:jc w:val="both"/>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5、商务和技术要求偏离表</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商务和技术要求偏离表</w:t>
      </w:r>
      <w:r/>
    </w:p>
    <w:p>
      <w:pPr>
        <w:jc w:val="center"/>
        <w:rPr>
          <w:rFonts w:ascii="宋体" w:hAnsi="宋体" w:cs="宋体"/>
          <w:b/>
          <w:color w:val="auto"/>
          <w:szCs w:val="21"/>
          <w:highlight w:val="none"/>
        </w:rPr>
      </w:pPr>
      <w:r>
        <w:rPr>
          <w:rFonts w:ascii="宋体" w:hAnsi="宋体" w:cs="宋体"/>
          <w:b/>
          <w:color w:val="auto"/>
          <w:szCs w:val="21"/>
          <w:highlight w:val="none"/>
        </w:rPr>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采购要求</w:t>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响应情况</w:t>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偏离/响应</w:t>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74"/>
        </w:trPr>
        <w:tc>
          <w:tcPr>
            <w:tcW w:w="828"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vAlign w:val="center"/>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23"/>
        </w:trPr>
        <w:tc>
          <w:tcPr>
            <w:tcW w:w="828"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23"/>
        </w:trPr>
        <w:tc>
          <w:tcPr>
            <w:tcW w:w="828"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23"/>
        </w:trPr>
        <w:tc>
          <w:tcPr>
            <w:tcW w:w="828"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23"/>
        </w:trPr>
        <w:tc>
          <w:tcPr>
            <w:tcW w:w="828"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23"/>
        </w:trPr>
        <w:tc>
          <w:tcPr>
            <w:tcW w:w="828"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292"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2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440"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699"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757" w:type="dxa"/>
            <w:textDirection w:val="lrTb"/>
            <w:noWrap w:val="false"/>
          </w:tcPr>
          <w:p>
            <w:pPr>
              <w:pStyle w:val="669"/>
              <w:ind w:firstLine="0"/>
              <w:jc w:val="center"/>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pStyle w:val="676"/>
        <w:ind w:firstLine="422"/>
        <w:rPr>
          <w:rFonts w:hAnsi="宋体" w:cs="宋体"/>
          <w:b/>
          <w:bCs/>
          <w:color w:val="auto"/>
          <w:szCs w:val="21"/>
          <w:highlight w:val="none"/>
        </w:rPr>
      </w:pPr>
      <w:r>
        <w:rPr>
          <w:rFonts w:hint="eastAsia" w:hAnsi="宋体" w:cs="宋体"/>
          <w:b/>
          <w:bCs/>
          <w:color w:val="auto"/>
          <w:szCs w:val="21"/>
          <w:highlight w:val="none"/>
        </w:rPr>
        <w:t xml:space="preserve">注：1、响应单位应对照磋商文件要求，响应单位响应情况与磋商文件的规定有偏离的，应在此表中申明与磋商文件要求条文的偏差和例外。</w:t>
      </w:r>
      <w:r/>
    </w:p>
    <w:p>
      <w:pPr>
        <w:pStyle w:val="676"/>
        <w:ind w:firstLine="422"/>
        <w:rPr>
          <w:rFonts w:hAnsi="宋体" w:cs="宋体"/>
          <w:b/>
          <w:bCs/>
          <w:color w:val="auto"/>
          <w:szCs w:val="21"/>
          <w:highlight w:val="none"/>
        </w:rPr>
      </w:pPr>
      <w:r>
        <w:rPr>
          <w:rFonts w:hint="eastAsia" w:hAnsi="宋体" w:cs="宋体"/>
          <w:b/>
          <w:bCs/>
          <w:color w:val="auto"/>
          <w:szCs w:val="21"/>
          <w:highlight w:val="none"/>
        </w:rPr>
        <w:t xml:space="preserve">2、未在上表中说明的，如在响应文件其他内容中已有文字说明的，则以已有文字说明为准，否则，将被认为完全响应磋商文件的规定。但该表不作为响应单位对所投标的物详细描述和说明的替代。</w:t>
      </w:r>
      <w:r/>
    </w:p>
    <w:p>
      <w:pPr>
        <w:ind w:right="105" w:firstLine="210"/>
        <w:spacing w:line="360" w:lineRule="auto"/>
        <w:rPr>
          <w:rFonts w:ascii="宋体" w:hAnsi="宋体" w:cs="宋体"/>
          <w:color w:val="auto"/>
          <w:szCs w:val="21"/>
          <w:highlight w:val="none"/>
        </w:rPr>
      </w:pPr>
      <w:r>
        <w:rPr>
          <w:rFonts w:ascii="宋体" w:hAnsi="宋体" w:cs="宋体"/>
          <w:color w:val="auto"/>
          <w:szCs w:val="21"/>
          <w:highlight w:val="none"/>
        </w:rPr>
      </w:r>
      <w:r/>
    </w:p>
    <w:p>
      <w:pPr>
        <w:ind w:right="105"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right="42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right="420"/>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ind w:right="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6、与其他单位存在控股、管理关系情况表。</w:t>
      </w:r>
      <w:r/>
    </w:p>
    <w:p>
      <w:pPr>
        <w:rPr>
          <w:rFonts w:ascii="宋体" w:hAnsi="宋体" w:cs="宋体"/>
          <w:color w:val="auto"/>
          <w:szCs w:val="21"/>
          <w:highlight w:val="none"/>
        </w:rPr>
      </w:pPr>
      <w:r>
        <w:rPr>
          <w:rFonts w:ascii="宋体" w:hAnsi="宋体" w:cs="宋体"/>
          <w:color w:val="auto"/>
          <w:szCs w:val="21"/>
          <w:highlight w:val="none"/>
        </w:rPr>
      </w:r>
      <w:r/>
    </w:p>
    <w:p>
      <w:pPr>
        <w:ind w:firstLine="482"/>
        <w:jc w:val="center"/>
        <w:spacing w:line="360" w:lineRule="auto"/>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供应商与其他单位存在直接控股、管理关系情况表</w:t>
      </w:r>
      <w:r/>
    </w:p>
    <w:p>
      <w:pPr>
        <w:ind w:firstLine="420"/>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单位名称：</w:t>
      </w:r>
      <w:r/>
    </w:p>
    <w:tbl>
      <w:tblPr>
        <w:tblStyle w:val="6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520"/>
        <w:gridCol w:w="1340"/>
        <w:gridCol w:w="1362"/>
        <w:gridCol w:w="1268"/>
        <w:gridCol w:w="1491"/>
        <w:gridCol w:w="1433"/>
      </w:tblGrid>
      <w:tr>
        <w:trPr>
          <w:jc w:val="center"/>
          <w:trHeight w:val="766"/>
        </w:trPr>
        <w:tc>
          <w:tcPr>
            <w:gridSpan w:val="4"/>
            <w:tcW w:w="0" w:type="auto"/>
            <w:vAlign w:val="center"/>
            <w:textDirection w:val="lrTb"/>
            <w:noWrap w:val="false"/>
          </w:tcPr>
          <w:p>
            <w:pPr>
              <w:jc w:val="cente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与供应商存在直接股权关系</w:t>
            </w:r>
            <w:r/>
          </w:p>
        </w:tc>
        <w:tc>
          <w:tcPr>
            <w:gridSpan w:val="3"/>
            <w:tcW w:w="0" w:type="auto"/>
            <w:vAlign w:val="center"/>
            <w:textDirection w:val="lrTb"/>
            <w:noWrap w:val="false"/>
          </w:tcPr>
          <w:p>
            <w:pPr>
              <w:jc w:val="cente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与供应商存在直接管理关系</w:t>
            </w:r>
            <w:r/>
          </w:p>
        </w:tc>
      </w:tr>
      <w:tr>
        <w:trPr>
          <w:jc w:val="center"/>
          <w:trHeight w:val="991"/>
        </w:trPr>
        <w:tc>
          <w:tcPr>
            <w:tcW w:w="1541" w:type="dxa"/>
            <w:vAlign w:val="center"/>
            <w:textDirection w:val="lrTb"/>
            <w:noWrap w:val="false"/>
          </w:tcPr>
          <w:p>
            <w:pPr>
              <w:ind w:firstLine="361"/>
              <w:jc w:val="cente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单位名称</w:t>
            </w:r>
            <w:r/>
          </w:p>
        </w:tc>
        <w:tc>
          <w:tcPr>
            <w:tcW w:w="1520" w:type="dxa"/>
            <w:vAlign w:val="center"/>
            <w:textDirection w:val="lrTb"/>
            <w:noWrap w:val="false"/>
          </w:tcPr>
          <w:p>
            <w:pP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是否为大型企业（填写“是”或 “否”）</w:t>
            </w:r>
            <w:r/>
          </w:p>
        </w:tc>
        <w:tc>
          <w:tcPr>
            <w:tcW w:w="1340" w:type="dxa"/>
            <w:vAlign w:val="center"/>
            <w:textDirection w:val="lrTb"/>
            <w:noWrap w:val="false"/>
          </w:tcPr>
          <w:p>
            <w:pP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是否直接控股（填写“是”或 “否”）</w:t>
            </w:r>
            <w:r/>
          </w:p>
        </w:tc>
        <w:tc>
          <w:tcPr>
            <w:tcW w:w="1362" w:type="dxa"/>
            <w:vAlign w:val="center"/>
            <w:textDirection w:val="lrTb"/>
            <w:noWrap w:val="false"/>
          </w:tcPr>
          <w:p>
            <w:pP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直接控股关系情况说明（持股比例等）</w:t>
            </w:r>
            <w:r/>
          </w:p>
        </w:tc>
        <w:tc>
          <w:tcPr>
            <w:tcW w:w="1268" w:type="dxa"/>
            <w:vAlign w:val="center"/>
            <w:textDirection w:val="lrTb"/>
            <w:noWrap w:val="false"/>
          </w:tcPr>
          <w:p>
            <w:pP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单位名称</w:t>
            </w:r>
            <w:r/>
          </w:p>
        </w:tc>
        <w:tc>
          <w:tcPr>
            <w:tcW w:w="1491" w:type="dxa"/>
            <w:vAlign w:val="center"/>
            <w:textDirection w:val="lrTb"/>
            <w:noWrap w:val="false"/>
          </w:tcPr>
          <w:p>
            <w:pP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是否为大型企业（填写“是”或 “否”）</w:t>
            </w:r>
            <w:r/>
          </w:p>
        </w:tc>
        <w:tc>
          <w:tcPr>
            <w:tcW w:w="0" w:type="auto"/>
            <w:vAlign w:val="center"/>
            <w:textDirection w:val="lrTb"/>
            <w:noWrap w:val="false"/>
          </w:tcPr>
          <w:p>
            <w:pPr>
              <w:widowControl/>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直接管理关系情况说明</w:t>
            </w:r>
            <w:r/>
          </w:p>
        </w:tc>
      </w:tr>
      <w:tr>
        <w:trPr>
          <w:jc w:val="center"/>
          <w:trHeight w:val="850"/>
        </w:trPr>
        <w:tc>
          <w:tcPr>
            <w:tcW w:w="154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52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4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62"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268"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49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0" w:type="auto"/>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r>
      <w:tr>
        <w:trPr>
          <w:jc w:val="center"/>
          <w:trHeight w:val="850"/>
        </w:trPr>
        <w:tc>
          <w:tcPr>
            <w:tcW w:w="154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52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4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62"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268"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49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0" w:type="auto"/>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r>
      <w:tr>
        <w:trPr>
          <w:jc w:val="center"/>
          <w:trHeight w:val="850"/>
        </w:trPr>
        <w:tc>
          <w:tcPr>
            <w:tcW w:w="154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52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4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62"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268"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49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0" w:type="auto"/>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r>
      <w:tr>
        <w:trPr>
          <w:jc w:val="center"/>
          <w:trHeight w:val="850"/>
        </w:trPr>
        <w:tc>
          <w:tcPr>
            <w:tcW w:w="154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52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4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62"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268"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49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0" w:type="auto"/>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r>
      <w:tr>
        <w:trPr>
          <w:jc w:val="center"/>
          <w:trHeight w:val="850"/>
        </w:trPr>
        <w:tc>
          <w:tcPr>
            <w:tcW w:w="154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52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4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62"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268"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49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0" w:type="auto"/>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r>
      <w:tr>
        <w:trPr>
          <w:jc w:val="center"/>
          <w:trHeight w:val="850"/>
        </w:trPr>
        <w:tc>
          <w:tcPr>
            <w:tcW w:w="154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52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40"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362"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268"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1491" w:type="dxa"/>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c>
          <w:tcPr>
            <w:tcW w:w="0" w:type="auto"/>
            <w:vAlign w:val="center"/>
            <w:textDirection w:val="lrTb"/>
            <w:noWrap w:val="false"/>
          </w:tcPr>
          <w:p>
            <w:pPr>
              <w:ind w:firstLine="420"/>
              <w:jc w:val="center"/>
              <w:widowControl/>
              <w:rPr>
                <w:rFonts w:ascii="宋体" w:hAnsi="宋体" w:cs="宋体"/>
                <w:b/>
                <w:color w:val="auto"/>
                <w:szCs w:val="21"/>
                <w:highlight w:val="none"/>
                <w:shd w:val="clear" w:color="auto" w:fill="ffffff"/>
              </w:rPr>
            </w:pPr>
            <w:r>
              <w:rPr>
                <w:rFonts w:ascii="宋体" w:hAnsi="宋体" w:cs="宋体"/>
                <w:b/>
                <w:color w:val="auto"/>
                <w:szCs w:val="21"/>
                <w:highlight w:val="none"/>
                <w:shd w:val="clear" w:color="auto" w:fill="ffffff"/>
              </w:rPr>
            </w:r>
            <w:r/>
          </w:p>
        </w:tc>
      </w:tr>
    </w:tbl>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2"/>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注：</w:t>
      </w:r>
      <w:r/>
    </w:p>
    <w:p>
      <w:pPr>
        <w:ind w:firstLine="422"/>
        <w:spacing w:line="36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shd w:val="clear" w:color="auto" w:fill="ffffff"/>
        </w:rPr>
        <w:t xml:space="preserve">2、其中“直接控股”是指供应商与大型企业之间存在直接投资并控股（非普通持股）的关系。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right="105"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694"/>
        <w:ind w:firstLine="520"/>
        <w:rPr>
          <w:color w:val="auto"/>
          <w:highlight w:val="none"/>
        </w:rPr>
      </w:pPr>
      <w:r>
        <w:rPr>
          <w:color w:val="auto"/>
          <w:highlight w:val="none"/>
        </w:rPr>
      </w:r>
      <w:r/>
    </w:p>
    <w:p>
      <w:pPr>
        <w:pStyle w:val="694"/>
        <w:ind w:left="0" w:firstLine="522"/>
        <w:spacing w:after="0" w:line="360" w:lineRule="auto"/>
        <w:rPr>
          <w:rFonts w:ascii="宋体" w:hAnsi="宋体" w:eastAsia="宋体" w:cs="宋体"/>
          <w:bCs/>
          <w:color w:val="auto"/>
          <w:sz w:val="21"/>
          <w:szCs w:val="21"/>
          <w:highlight w:val="none"/>
        </w:rPr>
      </w:pPr>
      <w:r>
        <w:rPr>
          <w:rFonts w:hint="eastAsia" w:ascii="宋体" w:hAnsi="宋体" w:eastAsia="宋体"/>
          <w:b/>
          <w:color w:val="auto"/>
          <w:highlight w:val="none"/>
        </w:rPr>
        <w:br w:type="page" w:clear="all"/>
      </w:r>
      <w:r/>
    </w:p>
    <w:p>
      <w:pPr>
        <w:pStyle w:val="658"/>
        <w:pageBreakBefore/>
        <w:spacing w:line="420" w:lineRule="exact"/>
        <w:rPr>
          <w:rFonts w:eastAsia="宋体" w:cs="宋体"/>
          <w:bCs/>
          <w:color w:val="auto"/>
          <w:sz w:val="21"/>
          <w:szCs w:val="21"/>
          <w:highlight w:val="none"/>
        </w:rPr>
      </w:pPr>
      <w:r>
        <w:rPr>
          <w:rFonts w:hint="eastAsia" w:eastAsia="宋体" w:cs="宋体"/>
          <w:bCs/>
          <w:color w:val="auto"/>
          <w:sz w:val="21"/>
          <w:szCs w:val="21"/>
          <w:highlight w:val="none"/>
        </w:rPr>
        <w:t xml:space="preserve">7、针对本项目投入专业技术（服务）人员情况一览表</w:t>
      </w:r>
      <w:r/>
    </w:p>
    <w:p>
      <w:pPr>
        <w:ind w:firstLine="682"/>
        <w:jc w:val="center"/>
        <w:spacing w:line="400" w:lineRule="exact"/>
        <w:rPr>
          <w:rFonts w:ascii="宋体" w:hAnsi="宋体" w:cs="Arial"/>
          <w:b/>
          <w:bCs/>
          <w:color w:val="auto"/>
          <w:spacing w:val="20"/>
          <w:szCs w:val="21"/>
          <w:highlight w:val="none"/>
        </w:rPr>
      </w:pPr>
      <w:r>
        <w:rPr>
          <w:rFonts w:ascii="宋体" w:hAnsi="宋体" w:cs="Arial"/>
          <w:b/>
          <w:bCs/>
          <w:color w:val="auto"/>
          <w:spacing w:val="20"/>
          <w:szCs w:val="21"/>
          <w:highlight w:val="none"/>
        </w:rPr>
      </w:r>
      <w:r/>
    </w:p>
    <w:p>
      <w:pPr>
        <w:ind w:firstLine="682"/>
        <w:jc w:val="center"/>
        <w:spacing w:line="400" w:lineRule="exact"/>
        <w:rPr>
          <w:rFonts w:ascii="宋体" w:hAnsi="宋体" w:cs="Arial"/>
          <w:b/>
          <w:bCs/>
          <w:color w:val="auto"/>
          <w:spacing w:val="20"/>
          <w:szCs w:val="21"/>
          <w:highlight w:val="none"/>
        </w:rPr>
      </w:pPr>
      <w:r>
        <w:rPr>
          <w:rFonts w:hint="eastAsia" w:ascii="宋体" w:hAnsi="宋体" w:cs="Arial"/>
          <w:b/>
          <w:bCs/>
          <w:color w:val="auto"/>
          <w:spacing w:val="20"/>
          <w:szCs w:val="21"/>
          <w:highlight w:val="none"/>
        </w:rPr>
        <w:t xml:space="preserve">（1）针对本项目投入专业技术（服务）人员情况一览表</w:t>
      </w:r>
      <w:r/>
    </w:p>
    <w:p>
      <w:pPr>
        <w:spacing w:line="360" w:lineRule="auto"/>
        <w:rPr>
          <w:rFonts w:ascii="宋体" w:hAnsi="宋体" w:cs="Arial"/>
          <w:color w:val="auto"/>
          <w:spacing w:val="20"/>
          <w:szCs w:val="21"/>
          <w:highlight w:val="none"/>
          <w:lang w:val="zh-CN"/>
        </w:rPr>
      </w:pPr>
      <w:r>
        <w:rPr>
          <w:rFonts w:ascii="宋体" w:hAnsi="宋体" w:cs="Arial"/>
          <w:color w:val="auto"/>
          <w:spacing w:val="20"/>
          <w:szCs w:val="21"/>
          <w:highlight w:val="none"/>
          <w:lang w:val="zh-CN"/>
        </w:rPr>
      </w:r>
      <w:r/>
    </w:p>
    <w:p>
      <w:pPr>
        <w:spacing w:line="360" w:lineRule="auto"/>
        <w:rPr>
          <w:rFonts w:ascii="宋体" w:hAnsi="宋体" w:cs="Arial"/>
          <w:color w:val="auto"/>
          <w:spacing w:val="20"/>
          <w:szCs w:val="21"/>
          <w:highlight w:val="none"/>
        </w:rPr>
      </w:pPr>
      <w:r>
        <w:rPr>
          <w:rFonts w:hint="eastAsia" w:ascii="宋体" w:hAnsi="宋体" w:cs="Arial"/>
          <w:color w:val="auto"/>
          <w:spacing w:val="20"/>
          <w:szCs w:val="21"/>
          <w:highlight w:val="none"/>
          <w:lang w:val="zh-CN"/>
        </w:rPr>
        <w:t xml:space="preserve">项目</w:t>
      </w:r>
      <w:r>
        <w:rPr>
          <w:rFonts w:ascii="宋体" w:hAnsi="宋体" w:cs="Arial"/>
          <w:color w:val="auto"/>
          <w:spacing w:val="20"/>
          <w:szCs w:val="21"/>
          <w:highlight w:val="none"/>
          <w:lang w:val="zh-CN"/>
        </w:rPr>
        <w:t xml:space="preserve">编号：</w:t>
      </w:r>
      <w:r>
        <w:rPr>
          <w:rFonts w:hint="eastAsia" w:ascii="宋体" w:hAnsi="宋体" w:cs="Arial"/>
          <w:color w:val="auto"/>
          <w:spacing w:val="20"/>
          <w:szCs w:val="21"/>
          <w:highlight w:val="none"/>
        </w:rPr>
        <w:t xml:space="preserve">             </w:t>
      </w:r>
      <w:r>
        <w:rPr>
          <w:rFonts w:ascii="宋体" w:hAnsi="宋体" w:cs="Arial"/>
          <w:color w:val="auto"/>
          <w:spacing w:val="20"/>
          <w:szCs w:val="21"/>
          <w:highlight w:val="none"/>
          <w:lang w:val="zh-CN"/>
        </w:rPr>
        <w:t xml:space="preserve">号</w:t>
      </w:r>
      <w:r/>
    </w:p>
    <w:tbl>
      <w:tblPr>
        <w:tblStyle w:val="69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252"/>
        <w:gridCol w:w="906"/>
        <w:gridCol w:w="990"/>
        <w:gridCol w:w="1207"/>
        <w:gridCol w:w="1033"/>
        <w:gridCol w:w="1111"/>
        <w:gridCol w:w="956"/>
        <w:gridCol w:w="1678"/>
      </w:tblGrid>
      <w:tr>
        <w:trPr>
          <w:trHeight w:val="956"/>
        </w:trPr>
        <w:tc>
          <w:tcPr>
            <w:tcW w:w="409"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序号</w:t>
            </w:r>
            <w:r/>
          </w:p>
        </w:tc>
        <w:tc>
          <w:tcPr>
            <w:tcW w:w="629"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项目组所任职务</w:t>
            </w:r>
            <w:r/>
          </w:p>
        </w:tc>
        <w:tc>
          <w:tcPr>
            <w:tcW w:w="455"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姓名</w:t>
            </w:r>
            <w:r/>
          </w:p>
        </w:tc>
        <w:tc>
          <w:tcPr>
            <w:tcW w:w="497"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性别</w:t>
            </w:r>
            <w:r/>
          </w:p>
        </w:tc>
        <w:tc>
          <w:tcPr>
            <w:tcW w:w="606"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年龄</w:t>
            </w:r>
            <w:r/>
          </w:p>
        </w:tc>
        <w:tc>
          <w:tcPr>
            <w:tcW w:w="519"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职称</w:t>
            </w:r>
            <w:r/>
          </w:p>
        </w:tc>
        <w:tc>
          <w:tcPr>
            <w:tcW w:w="558"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专业/资格</w:t>
            </w:r>
            <w:r/>
          </w:p>
        </w:tc>
        <w:tc>
          <w:tcPr>
            <w:tcW w:w="480"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从事本工作时间</w:t>
            </w:r>
            <w:r/>
          </w:p>
        </w:tc>
        <w:tc>
          <w:tcPr>
            <w:tcW w:w="843" w:type="pct"/>
            <w:textDirection w:val="lrTb"/>
            <w:noWrap w:val="false"/>
          </w:tcPr>
          <w:p>
            <w:pPr>
              <w:pStyle w:val="851"/>
              <w:ind w:firstLine="0"/>
              <w:jc w:val="center"/>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rPr>
                <w:rFonts w:ascii="宋体" w:hAnsi="宋体" w:cs="宋体"/>
                <w:color w:val="auto"/>
                <w:szCs w:val="21"/>
                <w:highlight w:val="none"/>
                <w:lang w:val="en-US"/>
              </w:rPr>
            </w:pPr>
            <w:r>
              <w:rPr>
                <w:rFonts w:hint="eastAsia" w:ascii="宋体" w:hAnsi="宋体" w:cs="宋体"/>
                <w:color w:val="auto"/>
                <w:szCs w:val="21"/>
                <w:highlight w:val="none"/>
                <w:lang w:val="en-US"/>
              </w:rPr>
              <w:t xml:space="preserve">典型业务与技术专长</w:t>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2</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3</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4</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5</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6</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7</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09"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W w:w="62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55"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97"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06"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19"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558"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480"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843" w:type="pct"/>
            <w:textDirection w:val="lrTb"/>
            <w:noWrap w:val="false"/>
          </w:tcPr>
          <w:p>
            <w:pPr>
              <w:pStyle w:val="851"/>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bl>
    <w:p>
      <w:pPr>
        <w:pStyle w:val="851"/>
        <w:ind w:firstLine="420"/>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ind w:right="105"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jc w:val="both"/>
        <w:rPr>
          <w:rFonts w:ascii="宋体" w:hAnsi="宋体" w:cs="Arial"/>
          <w:b/>
          <w:bCs/>
          <w:color w:val="auto"/>
          <w:spacing w:val="20"/>
          <w:szCs w:val="21"/>
          <w:highlight w:val="none"/>
        </w:rPr>
      </w:pPr>
      <w:r>
        <w:rPr>
          <w:rFonts w:hint="eastAsia" w:ascii="宋体" w:hAnsi="宋体" w:cs="Arial"/>
          <w:b/>
          <w:bCs/>
          <w:color w:val="auto"/>
          <w:spacing w:val="20"/>
          <w:szCs w:val="21"/>
          <w:highlight w:val="none"/>
        </w:rPr>
        <w:br w:type="page" w:clear="all"/>
      </w:r>
      <w:r/>
    </w:p>
    <w:p>
      <w:pPr>
        <w:pStyle w:val="851"/>
        <w:ind w:firstLine="0"/>
        <w:jc w:val="center"/>
        <w:spacing w:line="360" w:lineRule="auto"/>
        <w:rPr>
          <w:rFonts w:ascii="宋体" w:hAnsi="宋体" w:cs="Arial"/>
          <w:b/>
          <w:bCs/>
          <w:color w:val="auto"/>
          <w:spacing w:val="20"/>
          <w:szCs w:val="21"/>
          <w:highlight w:val="none"/>
          <w:lang w:val="en-US"/>
        </w:rPr>
      </w:pPr>
      <w:r>
        <w:rPr>
          <w:rFonts w:hint="eastAsia" w:ascii="宋体" w:hAnsi="宋体" w:cs="Arial"/>
          <w:b/>
          <w:bCs/>
          <w:color w:val="auto"/>
          <w:spacing w:val="20"/>
          <w:szCs w:val="21"/>
          <w:highlight w:val="none"/>
          <w:lang w:val="en-US"/>
        </w:rPr>
        <w:t xml:space="preserve">（2）项目经理情况一览表</w:t>
      </w:r>
      <w:r/>
    </w:p>
    <w:tbl>
      <w:tblPr>
        <w:tblStyle w:val="6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1322"/>
        <w:gridCol w:w="1758"/>
        <w:gridCol w:w="762"/>
        <w:gridCol w:w="1873"/>
        <w:gridCol w:w="1383"/>
        <w:gridCol w:w="1985"/>
      </w:tblGrid>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w:t>
            </w:r>
            <w:r/>
          </w:p>
        </w:tc>
        <w:tc>
          <w:tcPr>
            <w:tcW w:w="664"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姓名</w:t>
            </w:r>
            <w:r/>
          </w:p>
        </w:tc>
        <w:tc>
          <w:tcPr>
            <w:gridSpan w:val="2"/>
            <w:tcW w:w="1266" w:type="pct"/>
            <w:textDirection w:val="lrTb"/>
            <w:noWrap w:val="false"/>
          </w:tcPr>
          <w:p>
            <w:pPr>
              <w:pStyle w:val="851"/>
              <w:jc w:val="left"/>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940"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性别</w:t>
            </w:r>
            <w:r/>
          </w:p>
        </w:tc>
        <w:tc>
          <w:tcPr>
            <w:gridSpan w:val="2"/>
            <w:tcW w:w="1692" w:type="pct"/>
            <w:textDirection w:val="lrTb"/>
            <w:noWrap w:val="false"/>
          </w:tcPr>
          <w:p>
            <w:pPr>
              <w:pStyle w:val="851"/>
              <w:jc w:val="left"/>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2</w:t>
            </w:r>
            <w:r/>
          </w:p>
        </w:tc>
        <w:tc>
          <w:tcPr>
            <w:tcW w:w="664"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身份证码 </w:t>
            </w:r>
            <w:r/>
          </w:p>
        </w:tc>
        <w:tc>
          <w:tcPr>
            <w:gridSpan w:val="3"/>
            <w:tcW w:w="2206" w:type="pct"/>
            <w:textDirection w:val="lrTb"/>
            <w:noWrap w:val="false"/>
          </w:tcPr>
          <w:p>
            <w:pPr>
              <w:pStyle w:val="851"/>
              <w:jc w:val="left"/>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c>
          <w:tcPr>
            <w:tcW w:w="695"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出生年月</w:t>
            </w:r>
            <w:r/>
          </w:p>
        </w:tc>
        <w:tc>
          <w:tcPr>
            <w:tcW w:w="997" w:type="pct"/>
            <w:textDirection w:val="lrTb"/>
            <w:noWrap w:val="false"/>
          </w:tcPr>
          <w:p>
            <w:pPr>
              <w:pStyle w:val="851"/>
              <w:jc w:val="left"/>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tc>
      </w:tr>
      <w:tr>
        <w:trPr>
          <w:trHeight w:val="397"/>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3</w:t>
            </w:r>
            <w:r/>
          </w:p>
        </w:tc>
        <w:tc>
          <w:tcPr>
            <w:gridSpan w:val="2"/>
            <w:tcW w:w="1547" w:type="pc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联系电话： </w:t>
            </w:r>
            <w:r/>
          </w:p>
        </w:tc>
        <w:tc>
          <w:tcPr>
            <w:gridSpan w:val="2"/>
            <w:tcW w:w="1324" w:type="pc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传真：</w:t>
            </w:r>
            <w:r/>
          </w:p>
        </w:tc>
        <w:tc>
          <w:tcPr>
            <w:gridSpan w:val="2"/>
            <w:tcW w:w="1692" w:type="pct"/>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highlight w:val="none"/>
              </w:rPr>
              <w:t xml:space="preserve">电子邮箱：</w:t>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4</w:t>
            </w:r>
            <w:r/>
          </w:p>
        </w:tc>
        <w:tc>
          <w:tcPr>
            <w:gridSpan w:val="6"/>
            <w:tcW w:w="4563"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从事专业工作时间：</w:t>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5</w:t>
            </w:r>
            <w:r/>
          </w:p>
        </w:tc>
        <w:tc>
          <w:tcPr>
            <w:gridSpan w:val="6"/>
            <w:tcW w:w="4563"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从事专业工作时间：</w:t>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6</w:t>
            </w:r>
            <w:r/>
          </w:p>
        </w:tc>
        <w:tc>
          <w:tcPr>
            <w:gridSpan w:val="6"/>
            <w:tcW w:w="4563"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工作简历：</w:t>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7</w:t>
            </w:r>
            <w:r/>
          </w:p>
        </w:tc>
        <w:tc>
          <w:tcPr>
            <w:gridSpan w:val="6"/>
            <w:tcW w:w="4563" w:type="pct"/>
            <w:textDirection w:val="lrTb"/>
            <w:noWrap w:val="false"/>
          </w:tcPr>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曾获得的奖励情况：</w:t>
            </w:r>
            <w:r/>
          </w:p>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1、_____________________________________</w:t>
            </w:r>
            <w:r/>
          </w:p>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2、__________________________________________</w:t>
            </w:r>
            <w:r/>
          </w:p>
          <w:p>
            <w:pPr>
              <w:pStyle w:val="851"/>
              <w:ind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3、__________________________________________</w:t>
            </w:r>
            <w:r/>
          </w:p>
          <w:p>
            <w:pPr>
              <w:pStyle w:val="851"/>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w:t>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ascii="宋体" w:hAnsi="宋体" w:cs="宋体"/>
                <w:color w:val="auto"/>
                <w:szCs w:val="21"/>
                <w:highlight w:val="none"/>
                <w:lang w:val="en-US"/>
              </w:rPr>
            </w:r>
            <w:r/>
          </w:p>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gridSpan w:val="6"/>
            <w:tcW w:w="4563" w:type="pct"/>
            <w:textDirection w:val="lrTb"/>
            <w:noWrap w:val="false"/>
          </w:tcPr>
          <w:p>
            <w:pPr>
              <w:pStyle w:val="851"/>
              <w:ind w:left="0" w:firstLine="0"/>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本公司承诺：该项目经理在我单位</w:t>
            </w:r>
            <w:r>
              <w:rPr>
                <w:rFonts w:hint="eastAsia" w:ascii="宋体" w:hAnsi="宋体" w:cs="宋体"/>
                <w:color w:val="auto"/>
                <w:szCs w:val="21"/>
                <w:highlight w:val="none"/>
                <w:lang w:val="en-US" w:eastAsia="zh-CN"/>
              </w:rPr>
              <w:t xml:space="preserve">任职</w:t>
            </w:r>
            <w:r>
              <w:rPr>
                <w:rFonts w:hint="eastAsia" w:ascii="宋体" w:hAnsi="宋体" w:cs="宋体"/>
                <w:color w:val="auto"/>
                <w:szCs w:val="21"/>
                <w:highlight w:val="none"/>
                <w:lang w:val="en-US"/>
              </w:rPr>
              <w:t xml:space="preserve">且在从业经历中没有任何违法、违规而被查处的不良记录。</w:t>
            </w:r>
            <w:r/>
          </w:p>
        </w:tc>
      </w:tr>
      <w:tr>
        <w:trPr/>
        <w:tc>
          <w:tcPr>
            <w:tcW w:w="436" w:type="pct"/>
            <w:textDirection w:val="lrTb"/>
            <w:noWrap w:val="false"/>
          </w:tcPr>
          <w:p>
            <w:pPr>
              <w:pStyle w:val="851"/>
              <w:ind w:firstLine="0"/>
              <w:jc w:val="center"/>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9</w:t>
            </w:r>
            <w:r/>
          </w:p>
        </w:tc>
        <w:tc>
          <w:tcPr>
            <w:gridSpan w:val="6"/>
            <w:tcW w:w="4563" w:type="pct"/>
            <w:textDirection w:val="lrTb"/>
            <w:noWrap w:val="false"/>
          </w:tcPr>
          <w:p>
            <w:pPr>
              <w:pStyle w:val="851"/>
              <w:jc w:val="left"/>
              <w:spacing w:line="360" w:lineRule="auto"/>
              <w:rPr>
                <w:rFonts w:ascii="宋体" w:hAnsi="宋体" w:cs="宋体"/>
                <w:color w:val="auto"/>
                <w:szCs w:val="21"/>
                <w:highlight w:val="none"/>
                <w:lang w:val="en-US"/>
              </w:rPr>
            </w:pPr>
            <w:r>
              <w:rPr>
                <w:rFonts w:hint="eastAsia" w:ascii="宋体" w:hAnsi="宋体" w:cs="宋体"/>
                <w:color w:val="auto"/>
                <w:szCs w:val="21"/>
                <w:highlight w:val="none"/>
                <w:lang w:val="en-US"/>
              </w:rPr>
              <w:t xml:space="preserve">其他需要说明的情况</w:t>
            </w:r>
            <w:r/>
          </w:p>
        </w:tc>
      </w:tr>
    </w:tbl>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rFonts w:hint="eastAsia"/>
          <w:color w:val="auto"/>
          <w:szCs w:val="21"/>
          <w:highlight w:val="none"/>
          <w:lang w:val="en-US"/>
        </w:rPr>
        <w:t xml:space="preserve">注：按采购文件要求提供相关证明材料。</w:t>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pStyle w:val="851"/>
        <w:ind w:firstLine="420"/>
        <w:jc w:val="left"/>
        <w:spacing w:line="360" w:lineRule="auto"/>
        <w:rPr>
          <w:color w:val="auto"/>
          <w:szCs w:val="21"/>
          <w:highlight w:val="none"/>
          <w:lang w:val="en-US"/>
        </w:rPr>
      </w:pPr>
      <w:r>
        <w:rPr>
          <w:color w:val="auto"/>
          <w:szCs w:val="21"/>
          <w:highlight w:val="none"/>
          <w:lang w:val="en-US"/>
        </w:rPr>
      </w:r>
      <w:r/>
    </w:p>
    <w:p>
      <w:pPr>
        <w:jc w:val="left"/>
        <w:spacing w:line="240" w:lineRule="auto"/>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br w:type="page" w:clear="all"/>
      </w:r>
      <w:r/>
    </w:p>
    <w:p>
      <w:pPr>
        <w:pStyle w:val="673"/>
        <w:ind w:left="0"/>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8</w:t>
      </w:r>
      <w:r>
        <w:rPr>
          <w:rFonts w:hint="eastAsia" w:ascii="宋体" w:hAnsi="宋体" w:eastAsia="宋体" w:cs="宋体"/>
          <w:b/>
          <w:color w:val="auto"/>
          <w:sz w:val="21"/>
          <w:szCs w:val="21"/>
          <w:highlight w:val="none"/>
        </w:rPr>
        <w:t xml:space="preserve">、针对本项目投入配套设备清单</w:t>
      </w:r>
      <w:r/>
    </w:p>
    <w:p>
      <w:pPr>
        <w:pStyle w:val="673"/>
        <w:ind w:left="0"/>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针对本项目投入配套设备清单</w:t>
      </w:r>
      <w:r/>
    </w:p>
    <w:tbl>
      <w:tblPr>
        <w:tblStyle w:val="69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1442"/>
        <w:gridCol w:w="1904"/>
        <w:gridCol w:w="1973"/>
        <w:gridCol w:w="3063"/>
      </w:tblGrid>
      <w:tr>
        <w:trPr/>
        <w:tc>
          <w:tcPr>
            <w:tcW w:w="905" w:type="dxa"/>
            <w:textDirection w:val="lrTb"/>
            <w:noWrap w:val="false"/>
          </w:tcPr>
          <w:p>
            <w:pPr>
              <w:pStyle w:val="673"/>
              <w:ind w:left="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442" w:type="dxa"/>
            <w:textDirection w:val="lrTb"/>
            <w:noWrap w:val="false"/>
          </w:tcPr>
          <w:p>
            <w:pPr>
              <w:pStyle w:val="673"/>
              <w:ind w:left="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W w:w="1904" w:type="dxa"/>
            <w:textDirection w:val="lrTb"/>
            <w:noWrap w:val="false"/>
          </w:tcPr>
          <w:p>
            <w:pPr>
              <w:pStyle w:val="673"/>
              <w:ind w:left="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型号、规格</w:t>
            </w:r>
            <w:r/>
          </w:p>
        </w:tc>
        <w:tc>
          <w:tcPr>
            <w:tcW w:w="1973" w:type="dxa"/>
            <w:textDirection w:val="lrTb"/>
            <w:noWrap w:val="false"/>
          </w:tcPr>
          <w:p>
            <w:pPr>
              <w:pStyle w:val="673"/>
              <w:ind w:left="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W w:w="3063" w:type="dxa"/>
            <w:textDirection w:val="lrTb"/>
            <w:noWrap w:val="false"/>
          </w:tcPr>
          <w:p>
            <w:pPr>
              <w:pStyle w:val="673"/>
              <w:ind w:left="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产权属性</w:t>
            </w:r>
            <w:r/>
          </w:p>
          <w:p>
            <w:pPr>
              <w:pStyle w:val="673"/>
              <w:ind w:left="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（自有/租赁）</w:t>
            </w:r>
            <w:r/>
          </w:p>
        </w:tc>
      </w:tr>
      <w:tr>
        <w:trPr/>
        <w:tc>
          <w:tcPr>
            <w:tcW w:w="905"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442"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04"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7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306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tc>
          <w:tcPr>
            <w:tcW w:w="905"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442"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04"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7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306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tc>
          <w:tcPr>
            <w:tcW w:w="905"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442"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04"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7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306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tc>
          <w:tcPr>
            <w:tcW w:w="905"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442"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04"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7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306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r>
        <w:trPr/>
        <w:tc>
          <w:tcPr>
            <w:tcW w:w="905"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442"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04"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197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c>
          <w:tcPr>
            <w:tcW w:w="3063" w:type="dxa"/>
            <w:textDirection w:val="lrTb"/>
            <w:noWrap w:val="false"/>
          </w:tcPr>
          <w:p>
            <w:pPr>
              <w:pStyle w:val="673"/>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tc>
      </w:tr>
    </w:tbl>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673"/>
        <w:ind w:left="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spacing w:line="360" w:lineRule="auto"/>
        <w:rPr>
          <w:rFonts w:ascii="宋体" w:hAnsi="宋体" w:cs="宋体"/>
          <w:b/>
          <w:color w:val="auto"/>
          <w:szCs w:val="21"/>
          <w:highlight w:val="none"/>
        </w:rPr>
      </w:pPr>
      <w:r>
        <w:rPr>
          <w:rFonts w:ascii="宋体" w:hAnsi="宋体" w:cs="宋体"/>
          <w:b/>
          <w:color w:val="auto"/>
          <w:szCs w:val="21"/>
          <w:highlight w:val="none"/>
        </w:rPr>
      </w:r>
      <w:r/>
    </w:p>
    <w:p>
      <w:pPr>
        <w:numPr>
          <w:ilvl w:val="0"/>
          <w:numId w:val="0"/>
        </w:numP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企业类似业绩一览表</w:t>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企业类似业绩一览表</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tbl>
      <w:tblPr>
        <w:tblStyle w:val="667"/>
        <w:tblW w:w="92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8"/>
        <w:gridCol w:w="1843"/>
        <w:gridCol w:w="1644"/>
        <w:gridCol w:w="2409"/>
        <w:gridCol w:w="2551"/>
      </w:tblGrid>
      <w:tr>
        <w:trPr>
          <w:cantSplit/>
          <w:jc w:val="center"/>
          <w:trHeight w:val="740"/>
        </w:trPr>
        <w:tc>
          <w:tcPr>
            <w:tcW w:w="7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843"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合同（项目）名称</w:t>
            </w:r>
            <w:r/>
          </w:p>
        </w:tc>
        <w:tc>
          <w:tcPr>
            <w:tcW w:w="164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240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合同期（履约起止日期）</w:t>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510" w:hRule="exact"/>
        </w:trPr>
        <w:tc>
          <w:tcPr>
            <w:tcW w:w="7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8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7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8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7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8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7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8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0" w:hRule="exact"/>
        </w:trPr>
        <w:tc>
          <w:tcPr>
            <w:tcW w:w="77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1843"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644"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0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55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1、若事项较多，响应人可根据响应内容的实际情况另纸说明。</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 xml:space="preserve">需提供的材料详见磋商文件第五章评审办法的要求。</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spacing w:line="360" w:lineRule="auto"/>
        <w:rPr>
          <w:rFonts w:ascii="宋体" w:hAnsi="宋体"/>
          <w:b/>
          <w:bCs/>
          <w:color w:val="auto"/>
          <w:szCs w:val="21"/>
          <w:highlight w:val="none"/>
        </w:rPr>
      </w:pPr>
      <w:r>
        <w:rPr>
          <w:rFonts w:hint="eastAsia" w:ascii="宋体" w:hAnsi="宋体" w:cs="宋体"/>
          <w:b/>
          <w:color w:val="auto"/>
          <w:szCs w:val="21"/>
          <w:highlight w:val="none"/>
          <w:shd w:val="clear" w:color="auto" w:fill="ffffff"/>
          <w:lang w:val="en-US" w:eastAsia="zh-CN"/>
        </w:rPr>
        <w:t xml:space="preserve">10</w:t>
      </w:r>
      <w:r>
        <w:rPr>
          <w:rFonts w:hint="eastAsia" w:ascii="宋体" w:hAnsi="宋体" w:cs="宋体"/>
          <w:b/>
          <w:color w:val="auto"/>
          <w:szCs w:val="21"/>
          <w:highlight w:val="none"/>
          <w:shd w:val="clear" w:color="auto" w:fill="ffffff"/>
        </w:rPr>
        <w:t xml:space="preserve">、</w:t>
      </w:r>
      <w:r>
        <w:rPr>
          <w:rFonts w:hint="eastAsia" w:ascii="宋体" w:hAnsi="宋体" w:cs="宋体"/>
          <w:b/>
          <w:bCs/>
          <w:color w:val="auto"/>
          <w:szCs w:val="21"/>
          <w:highlight w:val="none"/>
          <w:lang w:val="zh-CN"/>
        </w:rPr>
        <w:t xml:space="preserve">资格证明文件</w:t>
      </w:r>
      <w:r/>
    </w:p>
    <w:p>
      <w:pPr>
        <w:spacing w:line="360" w:lineRule="auto"/>
        <w:rPr>
          <w:rFonts w:ascii="宋体" w:hAnsi="宋体"/>
          <w:bCs/>
          <w:color w:val="auto"/>
          <w:szCs w:val="21"/>
          <w:highlight w:val="none"/>
        </w:rPr>
        <w:outlineLvl w:val="2"/>
      </w:pPr>
      <w:r>
        <w:rPr>
          <w:rFonts w:hint="eastAsia" w:ascii="宋体" w:hAnsi="宋体" w:cs="宋体"/>
          <w:bCs/>
          <w:color w:val="auto"/>
          <w:szCs w:val="21"/>
          <w:highlight w:val="none"/>
          <w:lang w:val="zh-CN"/>
        </w:rPr>
        <w:t xml:space="preserve">（</w:t>
      </w:r>
      <w:r>
        <w:rPr>
          <w:rFonts w:ascii="宋体" w:hAnsi="宋体" w:cs="宋体"/>
          <w:bCs/>
          <w:color w:val="auto"/>
          <w:szCs w:val="21"/>
          <w:highlight w:val="none"/>
          <w:lang w:val="zh-CN"/>
        </w:rPr>
        <w:t xml:space="preserve">1</w:t>
      </w:r>
      <w:r>
        <w:rPr>
          <w:rFonts w:hint="eastAsia" w:ascii="宋体" w:hAnsi="宋体" w:cs="宋体"/>
          <w:bCs/>
          <w:color w:val="auto"/>
          <w:szCs w:val="21"/>
          <w:highlight w:val="none"/>
          <w:lang w:val="zh-CN"/>
        </w:rPr>
        <w:t xml:space="preserve">）关于资格文件的声明函</w:t>
      </w:r>
      <w:r/>
    </w:p>
    <w:p>
      <w:pPr>
        <w:ind w:firstLine="643"/>
        <w:jc w:val="center"/>
        <w:spacing w:line="360" w:lineRule="auto"/>
        <w:rPr>
          <w:rFonts w:ascii="宋体" w:hAnsi="宋体"/>
          <w:b/>
          <w:color w:val="auto"/>
          <w:szCs w:val="21"/>
          <w:highlight w:val="none"/>
        </w:rPr>
      </w:pPr>
      <w:r>
        <w:rPr>
          <w:rFonts w:hint="eastAsia" w:ascii="宋体" w:hAnsi="宋体" w:cs="宋体"/>
          <w:b/>
          <w:color w:val="auto"/>
          <w:szCs w:val="21"/>
          <w:highlight w:val="none"/>
          <w:lang w:val="zh-CN"/>
        </w:rPr>
        <w:t xml:space="preserve">关于资格文件的声明函</w:t>
      </w:r>
      <w:r/>
    </w:p>
    <w:p>
      <w:pPr>
        <w:spacing w:line="400" w:lineRule="exact"/>
        <w:rPr>
          <w:rFonts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422"/>
        <w:spacing w:line="400" w:lineRule="exact"/>
        <w:rPr>
          <w:rFonts w:ascii="宋体" w:hAnsi="宋体"/>
          <w:color w:val="auto"/>
          <w:szCs w:val="21"/>
          <w:highlight w:val="none"/>
        </w:rPr>
      </w:pPr>
      <w:r>
        <w:rPr>
          <w:rFonts w:hint="eastAsia" w:ascii="宋体" w:hAnsi="宋体" w:cs="宋体"/>
          <w:color w:val="auto"/>
          <w:szCs w:val="21"/>
          <w:highlight w:val="none"/>
          <w:lang w:val="zh-CN"/>
        </w:rPr>
        <w:t xml:space="preserve">本</w:t>
      </w:r>
      <w:r>
        <w:rPr>
          <w:rFonts w:hint="eastAsia" w:ascii="宋体" w:hAnsi="宋体" w:cs="宋体"/>
          <w:color w:val="auto"/>
          <w:szCs w:val="21"/>
          <w:highlight w:val="none"/>
        </w:rPr>
        <w:t xml:space="preserve">单位</w:t>
      </w:r>
      <w:r>
        <w:rPr>
          <w:rFonts w:hint="eastAsia" w:ascii="宋体" w:hAnsi="宋体" w:cs="宋体"/>
          <w:color w:val="auto"/>
          <w:szCs w:val="21"/>
          <w:highlight w:val="none"/>
          <w:lang w:val="zh-CN"/>
        </w:rPr>
        <w:t xml:space="preserve">所提交的响应文件中所有关于响应资格的文件、证明和陈述均是真实的、准确的。若与真实情况不符，本公司愿意承担由此而产生的一切后果。</w:t>
      </w:r>
      <w:r/>
    </w:p>
    <w:p>
      <w:pPr>
        <w:ind w:firstLine="422"/>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color w:val="auto"/>
          <w:szCs w:val="21"/>
          <w:highlight w:val="none"/>
        </w:rPr>
      </w:pPr>
      <w:r>
        <w:rPr>
          <w:rFonts w:ascii="宋体" w:hAnsi="宋体"/>
          <w:color w:val="auto"/>
          <w:szCs w:val="21"/>
          <w:highlight w:val="none"/>
        </w:rPr>
      </w:r>
      <w:r/>
    </w:p>
    <w:p>
      <w:pPr>
        <w:ind w:firstLine="422"/>
        <w:spacing w:line="400" w:lineRule="exact"/>
        <w:rPr>
          <w:rFonts w:ascii="宋体" w:hAnsi="宋体"/>
          <w:color w:val="auto"/>
          <w:szCs w:val="21"/>
          <w:highlight w:val="none"/>
        </w:rPr>
      </w:pPr>
      <w:r>
        <w:rPr>
          <w:rFonts w:ascii="宋体" w:hAnsi="宋体"/>
          <w:color w:val="auto"/>
          <w:szCs w:val="21"/>
          <w:highlight w:val="none"/>
        </w:rPr>
      </w:r>
      <w:r/>
    </w:p>
    <w:p>
      <w:pPr>
        <w:pStyle w:val="854"/>
        <w:ind w:firstLine="420"/>
        <w:spacing w:before="36" w:after="36"/>
        <w:rPr>
          <w:color w:val="auto"/>
          <w:sz w:val="21"/>
          <w:szCs w:val="21"/>
          <w:highlight w:val="none"/>
        </w:rPr>
      </w:pPr>
      <w:r>
        <w:rPr>
          <w:rFonts w:cs="宋体"/>
          <w:color w:val="auto"/>
          <w:sz w:val="21"/>
          <w:szCs w:val="21"/>
          <w:highlight w:val="none"/>
          <w:lang w:val="zh-CN"/>
        </w:rPr>
        <w:tab/>
      </w:r>
      <w:r/>
    </w:p>
    <w:p>
      <w:pPr>
        <w:ind w:right="105"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3675"/>
        <w:spacing w:line="440" w:lineRule="exact"/>
        <w:rPr>
          <w:rFonts w:ascii="宋体" w:hAnsi="宋体" w:cs="宋体"/>
          <w:color w:val="auto"/>
          <w:szCs w:val="21"/>
          <w:highlight w:val="none"/>
          <w:lang w:val="zh-CN"/>
        </w:rPr>
      </w:pPr>
      <w:r>
        <w:rPr>
          <w:rFonts w:ascii="宋体" w:hAnsi="宋体" w:cs="宋体"/>
          <w:color w:val="auto"/>
          <w:szCs w:val="21"/>
          <w:highlight w:val="none"/>
          <w:lang w:val="zh-CN"/>
        </w:rPr>
      </w:r>
      <w:r/>
    </w:p>
    <w:p>
      <w:pPr>
        <w:pStyle w:val="855"/>
        <w:rPr>
          <w:rFonts w:ascii="宋体" w:hAnsi="宋体" w:cs="Arial"/>
          <w:b/>
          <w:bCs/>
          <w:color w:val="auto"/>
          <w:spacing w:val="20"/>
          <w:sz w:val="30"/>
          <w:szCs w:val="30"/>
          <w:highlight w:val="none"/>
        </w:rPr>
      </w:pPr>
      <w:r>
        <w:rPr>
          <w:rFonts w:ascii="宋体" w:hAnsi="宋体" w:cs="宋体"/>
          <w:color w:val="auto"/>
          <w:szCs w:val="21"/>
          <w:highlight w:val="none"/>
          <w:lang w:val="zh-CN"/>
        </w:rPr>
        <w:br w:type="page" w:clear="all"/>
      </w:r>
      <w:r/>
    </w:p>
    <w:p>
      <w:pPr>
        <w:spacing w:line="360" w:lineRule="auto"/>
        <w:rPr>
          <w:rFonts w:ascii="宋体" w:hAnsi="宋体" w:cs="宋体"/>
          <w:bCs/>
          <w:color w:val="auto"/>
          <w:szCs w:val="21"/>
          <w:highlight w:val="none"/>
          <w:lang w:val="zh-CN"/>
        </w:rPr>
        <w:outlineLvl w:val="2"/>
      </w:pPr>
      <w:r>
        <w:rPr>
          <w:rFonts w:hint="eastAsia" w:ascii="宋体" w:hAnsi="宋体" w:cs="宋体"/>
          <w:bCs/>
          <w:color w:val="auto"/>
          <w:szCs w:val="21"/>
          <w:highlight w:val="none"/>
          <w:lang w:val="zh-CN"/>
        </w:rPr>
        <w:t xml:space="preserve">（</w:t>
      </w:r>
      <w:r>
        <w:rPr>
          <w:rFonts w:ascii="宋体" w:hAnsi="宋体" w:cs="宋体"/>
          <w:bCs/>
          <w:color w:val="auto"/>
          <w:szCs w:val="21"/>
          <w:highlight w:val="none"/>
          <w:lang w:val="zh-CN"/>
        </w:rPr>
        <w:t xml:space="preserve">2</w:t>
      </w:r>
      <w:r>
        <w:rPr>
          <w:rFonts w:hint="eastAsia" w:ascii="宋体" w:hAnsi="宋体" w:cs="宋体"/>
          <w:bCs/>
          <w:color w:val="auto"/>
          <w:szCs w:val="21"/>
          <w:highlight w:val="none"/>
          <w:lang w:val="zh-CN"/>
        </w:rPr>
        <w:t xml:space="preserve">）企业情况表</w:t>
      </w:r>
      <w:r/>
    </w:p>
    <w:p>
      <w:pPr>
        <w:ind w:firstLine="643"/>
        <w:jc w:val="center"/>
        <w:spacing w:line="360" w:lineRule="auto"/>
        <w:rPr>
          <w:rFonts w:ascii="宋体" w:hAnsi="宋体"/>
          <w:b/>
          <w:color w:val="auto"/>
          <w:szCs w:val="21"/>
          <w:highlight w:val="none"/>
        </w:rPr>
      </w:pPr>
      <w:r>
        <w:rPr>
          <w:rFonts w:hint="eastAsia" w:ascii="宋体" w:hAnsi="宋体" w:cs="宋体"/>
          <w:b/>
          <w:color w:val="auto"/>
          <w:szCs w:val="21"/>
          <w:highlight w:val="none"/>
          <w:lang w:val="zh-CN"/>
        </w:rPr>
        <w:t xml:space="preserve">企业情况表</w:t>
      </w:r>
      <w:r/>
    </w:p>
    <w:p>
      <w:pPr>
        <w:ind w:firstLine="210"/>
        <w:spacing w:line="360" w:lineRule="auto"/>
        <w:rPr>
          <w:rFonts w:ascii="宋体" w:hAnsi="宋体"/>
          <w:bCs/>
          <w:color w:val="auto"/>
          <w:szCs w:val="21"/>
          <w:highlight w:val="none"/>
        </w:rPr>
      </w:pPr>
      <w:r>
        <w:rPr>
          <w:rFonts w:hint="eastAsia" w:ascii="宋体" w:hAnsi="宋体"/>
          <w:bCs/>
          <w:color w:val="auto"/>
          <w:szCs w:val="21"/>
          <w:highlight w:val="none"/>
        </w:rPr>
        <w:t xml:space="preserve">项目编号：                  </w:t>
      </w:r>
      <w:r/>
    </w:p>
    <w:tbl>
      <w:tblPr>
        <w:tblStyle w:val="667"/>
        <w:tblW w:w="926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textDirection w:val="lrTb"/>
            <w:noWrap w:val="false"/>
          </w:tcPr>
          <w:p>
            <w:pPr>
              <w:ind w:firstLine="422"/>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2244"/>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3048"/>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jc w:val="center"/>
          <w:trHeight w:val="1715"/>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pStyle w:val="854"/>
        <w:ind w:firstLine="420"/>
        <w:spacing w:before="36" w:after="36"/>
        <w:rPr>
          <w:color w:val="auto"/>
          <w:sz w:val="21"/>
          <w:szCs w:val="21"/>
          <w:highlight w:val="none"/>
        </w:rPr>
      </w:pPr>
      <w:r>
        <w:rPr>
          <w:rFonts w:cs="宋体"/>
          <w:color w:val="auto"/>
          <w:sz w:val="21"/>
          <w:szCs w:val="21"/>
          <w:highlight w:val="none"/>
          <w:lang w:val="zh-CN"/>
        </w:rPr>
        <w:tab/>
      </w:r>
      <w:r/>
    </w:p>
    <w:p>
      <w:pPr>
        <w:ind w:right="105"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供应商名称：（加盖CA电子公章）</w:t>
      </w:r>
      <w:r/>
    </w:p>
    <w:p>
      <w:pPr>
        <w:ind w:right="42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2"/>
        <w:spacing w:line="360" w:lineRule="auto"/>
        <w:rPr>
          <w:rFonts w:ascii="宋体" w:hAnsi="宋体" w:cs="宋体"/>
          <w:bCs/>
          <w:color w:val="auto"/>
          <w:szCs w:val="21"/>
          <w:highlight w:val="none"/>
          <w:lang w:val="zh-CN"/>
        </w:rPr>
      </w:pPr>
      <w:r>
        <w:rPr>
          <w:rFonts w:ascii="宋体" w:hAnsi="宋体" w:cs="宋体"/>
          <w:bCs/>
          <w:color w:val="auto"/>
          <w:szCs w:val="21"/>
          <w:highlight w:val="none"/>
          <w:lang w:val="zh-CN"/>
        </w:rPr>
      </w:r>
      <w:r/>
    </w:p>
    <w:p>
      <w:pPr>
        <w:ind w:firstLine="680"/>
        <w:jc w:val="center"/>
        <w:spacing w:line="400" w:lineRule="exact"/>
        <w:rPr>
          <w:rFonts w:ascii="宋体" w:hAnsi="宋体" w:cs="Arial"/>
          <w:b/>
          <w:bCs/>
          <w:color w:val="auto"/>
          <w:spacing w:val="20"/>
          <w:sz w:val="30"/>
          <w:szCs w:val="30"/>
          <w:highlight w:val="none"/>
        </w:rPr>
      </w:pPr>
      <w:r>
        <w:rPr>
          <w:rFonts w:ascii="宋体" w:hAnsi="宋体" w:cs="Arial"/>
          <w:b/>
          <w:bCs/>
          <w:color w:val="auto"/>
          <w:spacing w:val="20"/>
          <w:sz w:val="30"/>
          <w:szCs w:val="30"/>
          <w:highlight w:val="none"/>
        </w:rPr>
      </w:r>
      <w:r/>
    </w:p>
    <w:p>
      <w:pPr>
        <w:pStyle w:val="681"/>
        <w:rPr>
          <w:color w:val="auto"/>
          <w:highlight w:val="none"/>
        </w:rPr>
        <w:sectPr>
          <w:headerReference w:type="default" r:id="rId9"/>
          <w:footerReference w:type="default" r:id="rId10"/>
          <w:footnotePr/>
          <w:endnotePr/>
          <w:type w:val="nextPage"/>
          <w:pgSz w:w="11905" w:h="16838" w:orient="portrait"/>
          <w:pgMar w:top="1440" w:right="1083" w:bottom="1440" w:left="1083" w:header="851" w:footer="992" w:gutter="0"/>
          <w:cols w:num="1" w:sep="0" w:space="0" w:equalWidth="1"/>
          <w:docGrid w:linePitch="360"/>
        </w:sectPr>
      </w:pPr>
      <w:r>
        <w:rPr>
          <w:color w:val="auto"/>
          <w:highlight w:val="none"/>
        </w:rPr>
      </w:r>
      <w:r/>
    </w:p>
    <w:p>
      <w:pPr>
        <w:pStyle w:val="658"/>
        <w:pageBreakBefore/>
        <w:spacing w:line="420" w:lineRule="exact"/>
        <w:rPr>
          <w:rFonts w:eastAsia="宋体" w:cs="Arial"/>
          <w:color w:val="auto"/>
          <w:sz w:val="21"/>
          <w:szCs w:val="21"/>
          <w:highlight w:val="none"/>
        </w:rPr>
      </w:pPr>
      <w:r>
        <w:rPr>
          <w:rFonts w:hint="eastAsia" w:eastAsia="宋体" w:cs="Arial"/>
          <w:bCs/>
          <w:color w:val="auto"/>
          <w:sz w:val="21"/>
          <w:szCs w:val="21"/>
          <w:highlight w:val="none"/>
          <w:lang w:val="en-US" w:eastAsia="zh-CN"/>
        </w:rPr>
        <w:t xml:space="preserve">11</w:t>
      </w:r>
      <w:r>
        <w:rPr>
          <w:rFonts w:hint="eastAsia" w:eastAsia="宋体" w:cs="Arial"/>
          <w:bCs/>
          <w:color w:val="auto"/>
          <w:sz w:val="21"/>
          <w:szCs w:val="21"/>
          <w:highlight w:val="none"/>
        </w:rPr>
        <w:t xml:space="preserve">、</w:t>
      </w:r>
      <w:r>
        <w:rPr>
          <w:rFonts w:eastAsia="宋体" w:cs="Arial"/>
          <w:bCs/>
          <w:color w:val="auto"/>
          <w:sz w:val="21"/>
          <w:szCs w:val="21"/>
          <w:highlight w:val="none"/>
        </w:rPr>
        <w:t xml:space="preserve">中小企业声明函</w:t>
      </w:r>
      <w:r/>
    </w:p>
    <w:p>
      <w:pPr>
        <w:ind w:firstLine="444"/>
        <w:jc w:val="center"/>
        <w:spacing w:line="588" w:lineRule="exact"/>
        <w:rPr>
          <w:rFonts w:ascii="宋体" w:hAnsi="宋体" w:cs="Arial"/>
          <w:b/>
          <w:color w:val="auto"/>
          <w:spacing w:val="6"/>
          <w:highlight w:val="none"/>
        </w:rPr>
      </w:pPr>
      <w:r>
        <w:rPr>
          <w:rFonts w:ascii="宋体" w:hAnsi="宋体" w:cs="Arial"/>
          <w:b/>
          <w:color w:val="auto"/>
          <w:spacing w:val="6"/>
          <w:highlight w:val="none"/>
        </w:rPr>
      </w:r>
      <w:r/>
    </w:p>
    <w:p>
      <w:pPr>
        <w:ind w:firstLine="602"/>
        <w:jc w:val="center"/>
        <w:spacing w:line="360" w:lineRule="auto"/>
        <w:rPr>
          <w:rFonts w:ascii="宋体" w:hAnsi="宋体" w:cs="Arial"/>
          <w:color w:val="auto"/>
          <w:szCs w:val="21"/>
          <w:highlight w:val="none"/>
          <w:lang w:val="zh-CN"/>
        </w:rPr>
      </w:pPr>
      <w:r>
        <w:rPr>
          <w:rFonts w:ascii="宋体" w:hAnsi="宋体" w:cs="Arial"/>
          <w:b/>
          <w:bCs/>
          <w:color w:val="auto"/>
          <w:szCs w:val="21"/>
          <w:highlight w:val="none"/>
          <w:lang w:val="zh-CN"/>
        </w:rPr>
        <w:t xml:space="preserve">中小企业声明函</w:t>
      </w:r>
      <w:r/>
    </w:p>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苏州工业园区金鸡湖社区卫生服务中心</w:t>
      </w:r>
      <w:r>
        <w:rPr>
          <w:rFonts w:hint="eastAsia" w:ascii="宋体" w:hAnsi="宋体"/>
          <w:color w:val="auto"/>
          <w:szCs w:val="21"/>
          <w:highlight w:val="none"/>
        </w:rPr>
        <w:t xml:space="preserve">：</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numPr>
          <w:ilvl w:val="0"/>
          <w:numId w:val="2"/>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lang w:val="en-US" w:eastAsia="zh-CN"/>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w:t>
      </w:r>
      <w:r>
        <w:rPr>
          <w:rFonts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7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备注：</w:t>
      </w:r>
      <w:r/>
    </w:p>
    <w:p>
      <w:pPr>
        <w:rPr>
          <w:rFonts w:ascii="宋体" w:hAnsi="宋体" w:cs="宋体"/>
          <w:color w:val="auto"/>
          <w:szCs w:val="21"/>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rFonts w:ascii="宋体" w:hAnsi="宋体" w:cs="宋体"/>
          <w:color w:val="auto"/>
          <w:szCs w:val="21"/>
          <w:highlight w:val="none"/>
        </w:rPr>
      </w:pPr>
      <w:r>
        <w:rPr>
          <w:rFonts w:hint="eastAsia" w:ascii="宋体" w:hAnsi="宋体" w:cs="宋体"/>
          <w:color w:val="auto"/>
          <w:szCs w:val="21"/>
          <w:highlight w:val="none"/>
        </w:rPr>
        <w:t xml:space="preserve">2、若供应商提供的“中小企业声明函”内容不实的，属于提供虚假材料谋取中标、成交，依照《中华人民共和国政府采购法》等国家有关规定追究相应责任。</w:t>
      </w:r>
      <w:r/>
    </w:p>
    <w:p>
      <w:pPr>
        <w:rPr>
          <w:rFonts w:ascii="宋体" w:hAnsi="宋体" w:cs="宋体"/>
          <w:color w:val="auto"/>
          <w:szCs w:val="21"/>
          <w:highlight w:val="none"/>
        </w:rPr>
      </w:pPr>
      <w:r>
        <w:rPr>
          <w:rFonts w:hint="eastAsia" w:ascii="宋体" w:hAnsi="宋体" w:cs="宋体"/>
          <w:color w:val="auto"/>
          <w:szCs w:val="21"/>
          <w:highlight w:val="none"/>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rPr>
          <w:rFonts w:ascii="宋体" w:hAnsi="宋体" w:cs="宋体"/>
          <w:color w:val="auto"/>
          <w:szCs w:val="21"/>
          <w:highlight w:val="none"/>
        </w:rPr>
      </w:pPr>
      <w:r>
        <w:rPr>
          <w:rFonts w:hint="eastAsia" w:ascii="宋体" w:hAnsi="宋体" w:cs="宋体"/>
          <w:color w:val="auto"/>
          <w:szCs w:val="21"/>
          <w:highlight w:val="none"/>
        </w:rPr>
        <w:t xml:space="preserve">4、投标文件中的电子签章视为投标人对本声明进行了签署盖章并承担相应责任。</w:t>
      </w:r>
      <w:r/>
    </w:p>
    <w:p>
      <w:pPr>
        <w:rPr>
          <w:rFonts w:ascii="宋体" w:hAnsi="宋体"/>
          <w:b/>
          <w:color w:val="auto"/>
          <w:szCs w:val="21"/>
          <w:highlight w:val="none"/>
        </w:rPr>
      </w:pPr>
      <w:r>
        <w:rPr>
          <w:rFonts w:ascii="宋体" w:hAnsi="宋体"/>
          <w:b/>
          <w:color w:val="auto"/>
          <w:szCs w:val="21"/>
          <w:highlight w:val="none"/>
        </w:rPr>
        <w:br w:type="page" w:clear="all"/>
      </w:r>
      <w:r/>
    </w:p>
    <w:p>
      <w:pPr>
        <w:ind w:firstLine="420"/>
        <w:spacing w:before="156"/>
        <w:rPr>
          <w:rFonts w:ascii="宋体" w:hAnsi="宋体"/>
          <w:b/>
          <w:color w:val="auto"/>
          <w:szCs w:val="21"/>
          <w:highlight w:val="none"/>
        </w:rPr>
      </w:pPr>
      <w:r>
        <w:rPr>
          <w:rFonts w:ascii="宋体" w:hAnsi="宋体"/>
          <w:b/>
          <w:color w:val="auto"/>
          <w:szCs w:val="21"/>
          <w:highlight w:val="none"/>
        </w:rPr>
        <w:t xml:space="preserve">附：中小企业划型标准规定（工信部联企业〔2011〕300号）</w:t>
      </w:r>
      <w:r/>
    </w:p>
    <w:p>
      <w:pPr>
        <w:ind w:firstLine="420"/>
        <w:spacing w:before="156"/>
        <w:rPr>
          <w:rFonts w:ascii="宋体" w:hAnsi="宋体"/>
          <w:color w:val="auto"/>
          <w:szCs w:val="21"/>
          <w:highlight w:val="none"/>
        </w:rPr>
      </w:pPr>
      <w:r>
        <w:rPr>
          <w:rFonts w:ascii="宋体" w:hAnsi="宋体"/>
          <w:b/>
          <w:color w:val="auto"/>
          <w:szCs w:val="21"/>
          <w:highlight w:val="none"/>
        </w:rPr>
        <w:t xml:space="preserve">（一）农、林、牧、渔业。</w:t>
      </w:r>
      <w:r>
        <w:rPr>
          <w:rFonts w:ascii="宋体" w:hAnsi="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（二）工业。</w:t>
      </w:r>
      <w:r>
        <w:rPr>
          <w:rFonts w:ascii="宋体" w:hAnsi="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（三）建筑业。</w:t>
      </w:r>
      <w:r>
        <w:rPr>
          <w:rFonts w:ascii="宋体" w:hAnsi="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（四）批发业。</w:t>
      </w:r>
      <w:r>
        <w:rPr>
          <w:rFonts w:ascii="宋体" w:hAnsi="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（五）零售业。</w:t>
      </w:r>
      <w:r>
        <w:rPr>
          <w:rFonts w:ascii="宋体" w:hAnsi="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（六）交通运输业。</w:t>
      </w:r>
      <w:r>
        <w:rPr>
          <w:rFonts w:ascii="宋体" w:hAnsi="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（七）仓储业。</w:t>
      </w:r>
      <w:r>
        <w:rPr>
          <w:rFonts w:ascii="宋体" w:hAnsi="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（八）邮政业。</w:t>
      </w:r>
      <w:r>
        <w:rPr>
          <w:rFonts w:ascii="宋体" w:hAnsi="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（九）住宿业。</w:t>
      </w:r>
      <w:r>
        <w:rPr>
          <w:rFonts w:ascii="宋体" w:hAnsi="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（十）餐饮业。</w:t>
      </w:r>
      <w:r>
        <w:rPr>
          <w:rFonts w:ascii="宋体" w:hAnsi="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（十一）信息传输业。</w:t>
      </w:r>
      <w:r>
        <w:rPr>
          <w:rFonts w:ascii="宋体" w:hAnsi="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（十二）软件和信息技术服务业。</w:t>
      </w:r>
      <w:r>
        <w:rPr>
          <w:rFonts w:ascii="宋体" w:hAnsi="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（十三）房地产开发经营。</w:t>
      </w:r>
      <w:r>
        <w:rPr>
          <w:rFonts w:ascii="宋体" w:hAnsi="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（十四）物业管理。</w:t>
      </w:r>
      <w:r>
        <w:rPr>
          <w:rFonts w:ascii="宋体" w:hAnsi="宋体"/>
          <w:color w:val="auto"/>
          <w:szCs w:val="21"/>
          <w:highlight w:val="none"/>
        </w:rPr>
        <w:t xml:space="preserve">从业人员1000人以下或营业收入5000万元以下的为中小微型企业。其中，从业人员</w:t>
      </w:r>
      <w:r/>
    </w:p>
    <w:p>
      <w:pPr>
        <w:ind w:firstLine="420"/>
        <w:spacing w:before="156"/>
        <w:rPr>
          <w:rFonts w:ascii="宋体" w:hAnsi="宋体"/>
          <w:color w:val="auto"/>
          <w:szCs w:val="21"/>
          <w:highlight w:val="none"/>
        </w:rPr>
      </w:pPr>
      <w:r>
        <w:rPr>
          <w:rFonts w:ascii="宋体" w:hAnsi="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（十五）租赁和商务服务业。</w:t>
      </w:r>
      <w:r>
        <w:rPr>
          <w:rFonts w:ascii="宋体" w:hAnsi="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before="156"/>
        <w:rPr>
          <w:rFonts w:ascii="宋体" w:hAnsi="宋体"/>
          <w:color w:val="auto"/>
          <w:szCs w:val="21"/>
          <w:highlight w:val="none"/>
        </w:rPr>
      </w:pPr>
      <w:r>
        <w:rPr>
          <w:rFonts w:ascii="宋体" w:hAnsi="宋体"/>
          <w:b/>
          <w:color w:val="auto"/>
          <w:szCs w:val="21"/>
          <w:highlight w:val="none"/>
        </w:rPr>
        <w:t xml:space="preserve">（十六）其他未列明行业。</w:t>
      </w:r>
      <w:r>
        <w:rPr>
          <w:rFonts w:ascii="宋体" w:hAnsi="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Arial"/>
          <w:color w:val="auto"/>
          <w:szCs w:val="21"/>
          <w:highlight w:val="none"/>
        </w:rPr>
      </w:pPr>
      <w:r>
        <w:rPr>
          <w:rFonts w:ascii="宋体" w:hAnsi="宋体" w:cs="Arial"/>
          <w:color w:val="auto"/>
          <w:szCs w:val="21"/>
          <w:highlight w:val="none"/>
        </w:rPr>
      </w:r>
      <w:r/>
    </w:p>
    <w:p>
      <w:pPr>
        <w:pStyle w:val="673"/>
        <w:rPr>
          <w:rFonts w:ascii="宋体" w:hAnsi="宋体" w:cs="Arial"/>
          <w:color w:val="auto"/>
          <w:szCs w:val="21"/>
          <w:highlight w:val="none"/>
        </w:rPr>
      </w:pPr>
      <w:r>
        <w:rPr>
          <w:rFonts w:ascii="宋体" w:hAnsi="宋体" w:cs="Arial"/>
          <w:color w:val="auto"/>
          <w:szCs w:val="21"/>
          <w:highlight w:val="none"/>
        </w:rPr>
      </w:r>
      <w:r/>
    </w:p>
    <w:p>
      <w:pPr>
        <w:pStyle w:val="673"/>
        <w:rPr>
          <w:rFonts w:ascii="宋体" w:hAnsi="宋体" w:cs="Arial"/>
          <w:color w:val="auto"/>
          <w:szCs w:val="21"/>
          <w:highlight w:val="none"/>
        </w:rPr>
      </w:pPr>
      <w:r>
        <w:rPr>
          <w:rFonts w:ascii="宋体" w:hAnsi="宋体" w:cs="Arial"/>
          <w:color w:val="auto"/>
          <w:szCs w:val="21"/>
          <w:highlight w:val="none"/>
        </w:rPr>
      </w:r>
      <w:r/>
    </w:p>
    <w:p>
      <w:pPr>
        <w:rPr>
          <w:rFonts w:ascii="宋体" w:hAnsi="宋体" w:cs="Arial"/>
          <w:b/>
          <w:bCs/>
          <w:color w:val="auto"/>
          <w:szCs w:val="21"/>
          <w:highlight w:val="none"/>
        </w:rPr>
      </w:pPr>
      <w:r>
        <w:rPr>
          <w:rFonts w:hint="eastAsia" w:ascii="宋体" w:hAnsi="宋体" w:cs="Arial"/>
          <w:b/>
          <w:bCs/>
          <w:color w:val="auto"/>
          <w:szCs w:val="21"/>
          <w:highlight w:val="none"/>
        </w:rPr>
        <w:br w:type="page" w:clear="all"/>
      </w:r>
      <w:r/>
    </w:p>
    <w:p>
      <w:pPr>
        <w:spacing w:line="360" w:lineRule="auto"/>
        <w:rPr>
          <w:rFonts w:ascii="宋体" w:hAnsi="宋体"/>
          <w:color w:val="auto"/>
          <w:szCs w:val="21"/>
          <w:highlight w:val="none"/>
          <w:lang w:val="zh-CN"/>
        </w:rPr>
      </w:pPr>
      <w:r>
        <w:rPr>
          <w:rFonts w:hint="eastAsia" w:ascii="宋体" w:hAnsi="宋体" w:cs="Arial"/>
          <w:b/>
          <w:bCs/>
          <w:color w:val="auto"/>
          <w:szCs w:val="21"/>
          <w:highlight w:val="none"/>
        </w:rPr>
        <w:t xml:space="preserve">1</w:t>
      </w:r>
      <w:r>
        <w:rPr>
          <w:rFonts w:hint="eastAsia" w:ascii="宋体" w:hAnsi="宋体" w:cs="Arial"/>
          <w:b/>
          <w:bCs/>
          <w:color w:val="auto"/>
          <w:szCs w:val="21"/>
          <w:highlight w:val="none"/>
          <w:lang w:val="en-US" w:eastAsia="zh-CN"/>
        </w:rPr>
        <w:t xml:space="preserve">2</w:t>
      </w:r>
      <w:r>
        <w:rPr>
          <w:rFonts w:hint="eastAsia" w:ascii="宋体" w:hAnsi="宋体" w:cs="Arial"/>
          <w:b/>
          <w:bCs/>
          <w:color w:val="auto"/>
          <w:szCs w:val="21"/>
          <w:highlight w:val="none"/>
        </w:rPr>
        <w:t xml:space="preserve">、</w:t>
      </w:r>
      <w:r>
        <w:rPr>
          <w:rFonts w:hint="eastAsia" w:ascii="宋体" w:hAnsi="宋体"/>
          <w:b/>
          <w:bCs/>
          <w:color w:val="auto"/>
          <w:szCs w:val="21"/>
          <w:highlight w:val="none"/>
          <w:lang w:val="zh-CN"/>
        </w:rPr>
        <w:t xml:space="preserve">残疾人福利性单位声明函（如属）</w:t>
      </w:r>
      <w:r/>
    </w:p>
    <w:p>
      <w:pPr>
        <w:ind w:left="420" w:firstLine="602"/>
        <w:spacing w:after="120"/>
        <w:rPr>
          <w:rFonts w:ascii="宋体" w:hAnsi="宋体"/>
          <w:color w:val="auto"/>
          <w:szCs w:val="21"/>
          <w:highlight w:val="none"/>
          <w:lang w:val="zh-CN"/>
        </w:rPr>
      </w:pPr>
      <w:r>
        <w:rPr>
          <w:rFonts w:ascii="宋体" w:hAnsi="宋体"/>
          <w:color w:val="auto"/>
          <w:szCs w:val="21"/>
          <w:highlight w:val="none"/>
          <w:lang w:val="zh-CN"/>
        </w:rPr>
      </w:r>
      <w:r/>
    </w:p>
    <w:p>
      <w:pPr>
        <w:ind w:firstLine="643"/>
        <w:jc w:val="center"/>
        <w:spacing w:line="400" w:lineRule="exact"/>
        <w:rPr>
          <w:rFonts w:ascii="宋体" w:hAnsi="宋体" w:cs="宋体"/>
          <w:b/>
          <w:color w:val="auto"/>
          <w:szCs w:val="21"/>
          <w:highlight w:val="none"/>
          <w:shd w:val="clear" w:color="auto" w:fill="ffffff"/>
          <w:lang w:val="zh-CN"/>
        </w:rPr>
      </w:pPr>
      <w:r/>
      <w:bookmarkStart w:id="2" w:name="OLE_LINK14"/>
      <w:r>
        <w:rPr>
          <w:rFonts w:hint="eastAsia" w:ascii="宋体" w:hAnsi="宋体" w:cs="宋体"/>
          <w:b/>
          <w:color w:val="auto"/>
          <w:szCs w:val="21"/>
          <w:highlight w:val="none"/>
          <w:shd w:val="clear" w:color="auto" w:fill="ffffff"/>
          <w:lang w:val="zh-CN"/>
        </w:rPr>
        <w:t xml:space="preserve">残疾人福利性单位声明函</w:t>
      </w:r>
      <w:r/>
    </w:p>
    <w:p>
      <w:pPr>
        <w:ind w:left="420" w:firstLine="602"/>
        <w:spacing w:after="120"/>
        <w:rPr>
          <w:rFonts w:ascii="宋体" w:hAnsi="宋体"/>
          <w:color w:val="auto"/>
          <w:szCs w:val="21"/>
          <w:highlight w:val="none"/>
          <w:lang w:val="zh-CN"/>
        </w:rPr>
      </w:pPr>
      <w:r>
        <w:rPr>
          <w:rFonts w:ascii="宋体" w:hAnsi="宋体"/>
          <w:color w:val="auto"/>
          <w:szCs w:val="21"/>
          <w:highlight w:val="none"/>
          <w:lang w:val="zh-CN"/>
        </w:rPr>
      </w:r>
      <w:r/>
    </w:p>
    <w:p>
      <w:pPr>
        <w:spacing w:line="400" w:lineRule="exact"/>
        <w:rPr>
          <w:rFonts w:ascii="宋体" w:hAnsi="宋体"/>
          <w:color w:val="auto"/>
          <w:szCs w:val="21"/>
          <w:highlight w:val="none"/>
          <w:lang w:val="zh-CN"/>
        </w:rPr>
      </w:pPr>
      <w:r>
        <w:rPr>
          <w:rFonts w:hint="eastAsia" w:ascii="宋体" w:hAnsi="宋体"/>
          <w:color w:val="auto"/>
          <w:szCs w:val="21"/>
          <w:highlight w:val="none"/>
          <w:lang w:eastAsia="zh-CN"/>
        </w:rPr>
        <w:t xml:space="preserve">苏州工业园区金鸡湖社区卫生服务中心</w:t>
      </w:r>
      <w:r>
        <w:rPr>
          <w:rFonts w:hint="eastAsia" w:ascii="宋体" w:hAnsi="宋体"/>
          <w:color w:val="auto"/>
          <w:szCs w:val="21"/>
          <w:highlight w:val="none"/>
        </w:rPr>
        <w:t xml:space="preserve"> ：</w:t>
      </w:r>
      <w:bookmarkEnd w:id="2"/>
      <w:r/>
      <w:r/>
    </w:p>
    <w:p>
      <w:pPr>
        <w:ind w:firstLine="630"/>
        <w:spacing w:line="400" w:lineRule="exact"/>
        <w:rPr>
          <w:rFonts w:ascii="宋体" w:hAnsi="宋体"/>
          <w:color w:val="auto"/>
          <w:szCs w:val="21"/>
          <w:highlight w:val="none"/>
          <w:lang w:val="zh-CN"/>
        </w:rPr>
      </w:pPr>
      <w:r>
        <w:rPr>
          <w:rFonts w:ascii="宋体" w:hAnsi="宋体"/>
          <w:color w:val="auto"/>
          <w:szCs w:val="21"/>
          <w:highlight w:val="none"/>
          <w:lang w:val="zh-CN"/>
        </w:rPr>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rFonts w:ascii="宋体" w:hAnsi="宋体"/>
          <w:color w:val="auto"/>
          <w:szCs w:val="21"/>
          <w:highlight w:val="none"/>
          <w:lang w:val="zh-CN"/>
        </w:rPr>
      </w:pPr>
      <w:r>
        <w:rPr>
          <w:rFonts w:ascii="宋体" w:hAnsi="宋体"/>
          <w:color w:val="auto"/>
          <w:szCs w:val="21"/>
          <w:highlight w:val="none"/>
          <w:lang w:val="zh-CN"/>
        </w:rPr>
      </w:r>
      <w:r/>
    </w:p>
    <w:p>
      <w:pPr>
        <w:spacing w:line="360" w:lineRule="auto"/>
        <w:rPr>
          <w:rFonts w:ascii="宋体" w:hAnsi="宋体"/>
          <w:color w:val="auto"/>
          <w:szCs w:val="21"/>
          <w:highlight w:val="none"/>
          <w:lang w:val="zh-CN"/>
        </w:rPr>
      </w:pPr>
      <w:r>
        <w:rPr>
          <w:rFonts w:ascii="宋体" w:hAnsi="宋体"/>
          <w:color w:val="auto"/>
          <w:szCs w:val="21"/>
          <w:highlight w:val="none"/>
          <w:lang w:val="zh-CN"/>
        </w:rPr>
      </w:r>
      <w:r/>
    </w:p>
    <w:p>
      <w:pPr>
        <w:ind w:left="420" w:firstLine="422"/>
        <w:spacing w:after="120"/>
        <w:rPr>
          <w:rFonts w:ascii="宋体" w:hAnsi="宋体"/>
          <w:color w:val="auto"/>
          <w:szCs w:val="21"/>
          <w:highlight w:val="none"/>
          <w:lang w:val="zh-CN"/>
        </w:rPr>
      </w:pPr>
      <w:r>
        <w:rPr>
          <w:rFonts w:ascii="宋体" w:hAnsi="宋体"/>
          <w:color w:val="auto"/>
          <w:szCs w:val="21"/>
          <w:highlight w:val="none"/>
          <w:lang w:val="zh-CN"/>
        </w:rPr>
      </w:r>
      <w:r/>
    </w:p>
    <w:p>
      <w:pPr>
        <w:ind w:left="420" w:firstLine="422"/>
        <w:spacing w:after="120"/>
        <w:rPr>
          <w:rFonts w:ascii="宋体" w:hAnsi="宋体"/>
          <w:color w:val="auto"/>
          <w:szCs w:val="21"/>
          <w:highlight w:val="none"/>
          <w:lang w:val="zh-CN"/>
        </w:rPr>
      </w:pPr>
      <w:r>
        <w:rPr>
          <w:rFonts w:ascii="宋体" w:hAnsi="宋体"/>
          <w:color w:val="auto"/>
          <w:szCs w:val="21"/>
          <w:highlight w:val="none"/>
          <w:lang w:val="zh-CN"/>
        </w:rPr>
      </w:r>
      <w:r/>
    </w:p>
    <w:p>
      <w:pPr>
        <w:ind w:left="420" w:firstLine="422"/>
        <w:spacing w:after="120"/>
        <w:rPr>
          <w:rFonts w:ascii="宋体" w:hAnsi="宋体"/>
          <w:color w:val="auto"/>
          <w:szCs w:val="21"/>
          <w:highlight w:val="none"/>
          <w:lang w:val="zh-CN"/>
        </w:rPr>
      </w:pPr>
      <w:r>
        <w:rPr>
          <w:rFonts w:ascii="宋体" w:hAnsi="宋体"/>
          <w:color w:val="auto"/>
          <w:szCs w:val="21"/>
          <w:highlight w:val="none"/>
          <w:lang w:val="zh-CN"/>
        </w:rPr>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单位名称（加盖CA电子公章）：</w:t>
      </w:r>
      <w:r/>
    </w:p>
    <w:p>
      <w:pPr>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 日  期：</w:t>
      </w:r>
      <w:r/>
    </w:p>
    <w:p>
      <w:pPr>
        <w:spacing w:line="380" w:lineRule="exact"/>
        <w:rPr>
          <w:rFonts w:ascii="宋体" w:hAnsi="宋体"/>
          <w:color w:val="auto"/>
          <w:szCs w:val="21"/>
          <w:highlight w:val="none"/>
          <w:lang w:val="zh-CN"/>
        </w:rPr>
      </w:pPr>
      <w:r>
        <w:rPr>
          <w:rFonts w:ascii="宋体" w:hAnsi="宋体"/>
          <w:color w:val="auto"/>
          <w:szCs w:val="21"/>
          <w:highlight w:val="none"/>
          <w:lang w:val="zh-CN"/>
        </w:rPr>
      </w:r>
      <w:r/>
    </w:p>
    <w:p>
      <w:pPr>
        <w:ind w:firstLine="482"/>
        <w:rPr>
          <w:rFonts w:ascii="宋体" w:hAnsi="宋体"/>
          <w:color w:val="auto"/>
          <w:sz w:val="24"/>
          <w:szCs w:val="20"/>
          <w:highlight w:val="none"/>
        </w:rPr>
      </w:pPr>
      <w:r>
        <w:rPr>
          <w:rFonts w:ascii="宋体" w:hAnsi="宋体"/>
          <w:color w:val="auto"/>
          <w:sz w:val="24"/>
          <w:highlight w:val="none"/>
          <w:shd w:val="clear" w:color="auto" w:fill="ffffff"/>
        </w:rPr>
        <w:br w:type="page" w:clear="all"/>
      </w:r>
      <w:r/>
    </w:p>
    <w:p>
      <w:pPr>
        <w:jc w:val="left"/>
        <w:spacing w:line="360" w:lineRule="auto"/>
        <w:rPr>
          <w:rFonts w:ascii="宋体" w:hAnsi="宋体"/>
          <w:b/>
          <w:color w:val="auto"/>
          <w:szCs w:val="21"/>
          <w:highlight w:val="none"/>
          <w:shd w:val="clear" w:color="auto" w:fill="ffffff"/>
        </w:rPr>
      </w:pPr>
      <w:r>
        <w:rPr>
          <w:rFonts w:hint="eastAsia" w:ascii="宋体" w:hAnsi="宋体" w:cs="Arial"/>
          <w:b/>
          <w:bCs/>
          <w:color w:val="auto"/>
          <w:szCs w:val="21"/>
          <w:highlight w:val="none"/>
        </w:rPr>
        <w:t xml:space="preserve">1</w:t>
      </w:r>
      <w:r>
        <w:rPr>
          <w:rFonts w:hint="eastAsia" w:ascii="宋体" w:hAnsi="宋体" w:cs="Arial"/>
          <w:b/>
          <w:bCs/>
          <w:color w:val="auto"/>
          <w:szCs w:val="21"/>
          <w:highlight w:val="none"/>
          <w:lang w:val="en-US" w:eastAsia="zh-CN"/>
        </w:rPr>
        <w:t xml:space="preserve">3</w:t>
      </w:r>
      <w:r>
        <w:rPr>
          <w:rFonts w:hint="eastAsia" w:ascii="宋体" w:hAnsi="宋体" w:cs="Arial"/>
          <w:b/>
          <w:bCs/>
          <w:color w:val="auto"/>
          <w:szCs w:val="21"/>
          <w:highlight w:val="none"/>
        </w:rPr>
        <w:t xml:space="preserve">、</w:t>
      </w:r>
      <w:r>
        <w:rPr>
          <w:rFonts w:hint="eastAsia" w:ascii="宋体" w:hAnsi="宋体"/>
          <w:b/>
          <w:color w:val="auto"/>
          <w:szCs w:val="21"/>
          <w:highlight w:val="none"/>
          <w:shd w:val="clear" w:color="auto" w:fill="ffffff"/>
        </w:rPr>
        <w:t xml:space="preserve">参加政府采购活动前三年内，在经营活动中没有重大违法记录声明</w:t>
      </w:r>
      <w:r/>
    </w:p>
    <w:p>
      <w:pPr>
        <w:pStyle w:val="673"/>
        <w:ind w:firstLine="482"/>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400" w:lineRule="exact"/>
        <w:rPr>
          <w:rFonts w:ascii="宋体" w:hAnsi="宋体"/>
          <w:color w:val="auto"/>
          <w:szCs w:val="21"/>
          <w:highlight w:val="none"/>
          <w:lang w:val="zh-CN"/>
        </w:rPr>
      </w:pPr>
      <w:r>
        <w:rPr>
          <w:rFonts w:hint="eastAsia" w:ascii="宋体" w:hAnsi="宋体" w:cs="宋体"/>
          <w:b/>
          <w:bCs/>
          <w:color w:val="auto"/>
          <w:szCs w:val="21"/>
          <w:highlight w:val="none"/>
          <w:u w:val="single"/>
        </w:rPr>
        <w:t xml:space="preserve">致：</w:t>
      </w:r>
      <w:r>
        <w:rPr>
          <w:rFonts w:hint="eastAsia" w:ascii="宋体" w:hAnsi="宋体" w:cs="宋体"/>
          <w:b/>
          <w:bCs/>
          <w:color w:val="auto"/>
          <w:szCs w:val="21"/>
          <w:highlight w:val="none"/>
          <w:u w:val="single"/>
          <w:shd w:val="clear" w:color="auto" w:fill="ffffff"/>
        </w:rPr>
        <w:t xml:space="preserve"> </w:t>
      </w:r>
      <w:r>
        <w:rPr>
          <w:rFonts w:hint="eastAsia" w:ascii="宋体" w:hAnsi="宋体"/>
          <w:color w:val="auto"/>
          <w:szCs w:val="21"/>
          <w:highlight w:val="none"/>
          <w:u w:val="single"/>
          <w:lang w:eastAsia="zh-CN"/>
        </w:rPr>
        <w:t xml:space="preserve">苏州工业园区金鸡湖社区卫生服务中心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82"/>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本单位</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 在参加政府采购活动前三年内，没有重大违法记录，特此声明。</w:t>
      </w:r>
      <w:r/>
    </w:p>
    <w:p>
      <w:pPr>
        <w:ind w:firstLine="48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若采购代理机构在本项目采购过程中发现本公司近三年内在经营活动中有重大违法记录，本公司将无条件退出本项目的投标，并承担因此引起的一起后果。</w:t>
      </w:r>
      <w:r/>
    </w:p>
    <w:p>
      <w:pPr>
        <w:pStyle w:val="694"/>
        <w:rPr>
          <w:rFonts w:ascii="宋体" w:hAnsi="宋体" w:eastAsia="宋体"/>
          <w:color w:val="auto"/>
          <w:sz w:val="21"/>
          <w:szCs w:val="21"/>
          <w:highlight w:val="none"/>
        </w:rPr>
      </w:pPr>
      <w:r>
        <w:rPr>
          <w:rFonts w:ascii="宋体" w:hAnsi="宋体" w:eastAsia="宋体"/>
          <w:color w:val="auto"/>
          <w:sz w:val="21"/>
          <w:szCs w:val="21"/>
          <w:highlight w:val="none"/>
        </w:rPr>
      </w:r>
      <w:r/>
    </w:p>
    <w:p>
      <w:pPr>
        <w:ind w:right="105" w:firstLine="422"/>
        <w:jc w:val="right"/>
        <w:spacing w:line="360" w:lineRule="auto"/>
        <w:rPr>
          <w:rFonts w:ascii="宋体" w:hAnsi="宋体"/>
          <w:color w:val="auto"/>
          <w:szCs w:val="21"/>
          <w:highlight w:val="none"/>
        </w:rPr>
      </w:pPr>
      <w:r>
        <w:rPr>
          <w:rFonts w:ascii="宋体" w:hAnsi="宋体"/>
          <w:color w:val="auto"/>
          <w:szCs w:val="21"/>
          <w:highlight w:val="none"/>
        </w:rPr>
        <w:t xml:space="preserve">供应商名称：（加盖CA电子公章）</w:t>
      </w:r>
      <w:r/>
    </w:p>
    <w:p>
      <w:pPr>
        <w:ind w:right="420" w:firstLine="422"/>
        <w:jc w:val="right"/>
        <w:spacing w:line="360" w:lineRule="auto"/>
        <w:rPr>
          <w:rFonts w:ascii="宋体" w:hAnsi="宋体"/>
          <w:color w:val="auto"/>
          <w:szCs w:val="21"/>
          <w:highlight w:val="none"/>
        </w:rPr>
      </w:pPr>
      <w:r>
        <w:rPr>
          <w:rFonts w:ascii="宋体" w:hAnsi="宋体"/>
          <w:color w:val="auto"/>
          <w:szCs w:val="21"/>
          <w:highlight w:val="none"/>
        </w:rPr>
        <w:t xml:space="preserve">日期：　　　年　　月　　日</w:t>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94"/>
        <w:ind w:left="0" w:firstLine="0"/>
        <w:rPr>
          <w:rFonts w:ascii="宋体" w:hAnsi="宋体" w:eastAsia="宋体" w:cs="宋体"/>
          <w:b/>
          <w:color w:val="auto"/>
          <w:sz w:val="21"/>
          <w:szCs w:val="21"/>
          <w:highlight w:val="none"/>
          <w:shd w:val="clear" w:color="auto" w:fill="ffffff"/>
        </w:rPr>
      </w:pPr>
      <w:r>
        <w:rPr>
          <w:rFonts w:ascii="宋体" w:hAnsi="宋体" w:eastAsia="宋体" w:cs="宋体"/>
          <w:b/>
          <w:color w:val="auto"/>
          <w:sz w:val="21"/>
          <w:szCs w:val="21"/>
          <w:highlight w:val="none"/>
          <w:shd w:val="clear" w:color="auto" w:fill="ffffff"/>
        </w:rPr>
      </w:r>
      <w:r/>
    </w:p>
    <w:p>
      <w:pPr>
        <w:pStyle w:val="657"/>
        <w:numPr>
          <w:ilvl w:val="0"/>
          <w:numId w:val="0"/>
        </w:numPr>
        <w:jc w:val="center"/>
        <w:spacing w:before="0" w:after="0" w:line="360" w:lineRule="auto"/>
        <w:rPr>
          <w:rFonts w:ascii="宋体" w:hAnsi="宋体"/>
          <w:color w:val="auto"/>
          <w:sz w:val="32"/>
          <w:szCs w:val="32"/>
          <w:highlight w:val="none"/>
        </w:rPr>
      </w:pPr>
      <w:r>
        <w:rPr>
          <w:rFonts w:hint="eastAsia" w:ascii="宋体" w:hAnsi="宋体"/>
          <w:color w:val="auto"/>
          <w:sz w:val="32"/>
          <w:szCs w:val="32"/>
          <w:highlight w:val="none"/>
        </w:rPr>
        <w:t xml:space="preserve">第三章 采购内容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苏州工业园区金鸡湖社区卫生服务中心</w:t>
      </w:r>
      <w:r>
        <w:rPr>
          <w:rFonts w:hint="eastAsia" w:ascii="宋体" w:hAnsi="宋体" w:cs="宋体"/>
          <w:color w:val="auto"/>
          <w:szCs w:val="21"/>
          <w:highlight w:val="none"/>
        </w:rPr>
        <w:t xml:space="preserve">的委托，苏州捷信招投标咨询有限公司就</w:t>
      </w:r>
      <w:r>
        <w:rPr>
          <w:rFonts w:hint="eastAsia" w:ascii="宋体" w:hAnsi="宋体" w:cs="宋体"/>
          <w:color w:val="auto"/>
          <w:szCs w:val="21"/>
          <w:highlight w:val="none"/>
          <w:lang w:eastAsia="zh-CN"/>
        </w:rPr>
        <w:t xml:space="preserve">金鸡湖社区卫生服务中心医疗设备运维服务</w:t>
      </w:r>
      <w:r>
        <w:rPr>
          <w:rFonts w:hint="eastAsia" w:ascii="宋体" w:hAnsi="宋体" w:cs="宋体"/>
          <w:color w:val="auto"/>
          <w:szCs w:val="21"/>
          <w:highlight w:val="none"/>
        </w:rPr>
        <w:t xml:space="preserve">进行竞争性磋商采购，欢迎符合条件的供应商参加磋商响应。</w:t>
      </w:r>
      <w:r/>
    </w:p>
    <w:p>
      <w:pPr>
        <w:pStyle w:val="700"/>
        <w:ind w:firstLine="420"/>
        <w:jc w:val="both"/>
        <w:keepLines w:val="0"/>
        <w:keepNext w:val="0"/>
        <w:pageBreakBefore w:val="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一、项目编号：</w:t>
      </w:r>
      <w:r>
        <w:rPr>
          <w:rFonts w:hint="eastAsia" w:ascii="宋体" w:hAnsi="宋体" w:cs="宋体"/>
          <w:color w:val="auto"/>
          <w:sz w:val="21"/>
          <w:szCs w:val="21"/>
          <w:highlight w:val="none"/>
          <w:lang w:eastAsia="zh-CN"/>
        </w:rPr>
        <w:t xml:space="preserve">JSZC-320591-SZJX-C2026-0005</w:t>
      </w:r>
      <w:r>
        <w:rPr>
          <w:rFonts w:hint="eastAsia" w:ascii="宋体" w:hAnsi="宋体" w:cs="宋体"/>
          <w:color w:val="auto"/>
          <w:sz w:val="21"/>
          <w:szCs w:val="21"/>
          <w:highlight w:val="none"/>
        </w:rPr>
        <w:tab/>
      </w:r>
      <w:r/>
    </w:p>
    <w:p>
      <w:pPr>
        <w:pStyle w:val="700"/>
        <w:ind w:firstLine="420"/>
        <w:jc w:val="both"/>
        <w:keepLines w:val="0"/>
        <w:keepNext w:val="0"/>
        <w:pageBreakBefore w:val="0"/>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二、项目名称：</w:t>
      </w:r>
      <w:r>
        <w:rPr>
          <w:rFonts w:hint="eastAsia" w:ascii="宋体" w:hAnsi="宋体" w:cs="宋体"/>
          <w:color w:val="auto"/>
          <w:sz w:val="21"/>
          <w:szCs w:val="21"/>
          <w:highlight w:val="none"/>
          <w:lang w:eastAsia="zh-CN"/>
        </w:rPr>
        <w:t xml:space="preserve">金鸡湖社区卫生服务中心医疗设备运维服务</w:t>
      </w:r>
      <w:r/>
    </w:p>
    <w:p>
      <w:pPr>
        <w:pStyle w:val="700"/>
        <w:ind w:firstLine="420"/>
        <w:jc w:val="both"/>
        <w:keepLines w:val="0"/>
        <w:keepNext w:val="0"/>
        <w:pageBreakBefore w:val="0"/>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三、采购方式：</w:t>
      </w:r>
      <w:r>
        <w:rPr>
          <w:rFonts w:hint="eastAsia" w:ascii="宋体" w:hAnsi="宋体" w:cs="宋体"/>
          <w:color w:val="auto"/>
          <w:sz w:val="21"/>
          <w:szCs w:val="21"/>
          <w:highlight w:val="none"/>
        </w:rPr>
        <w:t xml:space="preserve">□竞争性谈判 ☑竞争性磋商 □询价</w:t>
      </w:r>
      <w:r/>
    </w:p>
    <w:p>
      <w:pPr>
        <w:pStyle w:val="673"/>
        <w:ind w:left="0" w:firstLine="420"/>
        <w:keepLines w:val="0"/>
        <w:keepNext w:val="0"/>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b/>
          <w:bCs/>
          <w:color w:val="auto"/>
          <w:sz w:val="21"/>
          <w:szCs w:val="21"/>
          <w:highlight w:val="none"/>
        </w:rPr>
        <w:t xml:space="preserve">四、</w:t>
      </w:r>
      <w:r>
        <w:rPr>
          <w:rFonts w:hint="eastAsia" w:ascii="宋体" w:hAnsi="宋体" w:eastAsia="宋体" w:cs="宋体"/>
          <w:b/>
          <w:bCs/>
          <w:color w:val="auto"/>
          <w:sz w:val="21"/>
          <w:szCs w:val="21"/>
          <w:highlight w:val="none"/>
          <w:shd w:val="clear" w:color="auto" w:fill="ffffff"/>
        </w:rPr>
        <w:t xml:space="preserve">预算金额：</w:t>
      </w:r>
      <w:r>
        <w:rPr>
          <w:rFonts w:hint="eastAsia" w:ascii="宋体" w:hAnsi="宋体" w:eastAsia="宋体" w:cs="宋体"/>
          <w:color w:val="auto"/>
          <w:sz w:val="21"/>
          <w:szCs w:val="21"/>
          <w:highlight w:val="none"/>
          <w:shd w:val="clear" w:color="auto" w:fill="ffffff"/>
        </w:rPr>
        <w:t xml:space="preserve">人民币 贰佰零伍万元整（小写：2050000.00元）</w:t>
      </w:r>
      <w:r/>
    </w:p>
    <w:p>
      <w:pPr>
        <w:pStyle w:val="673"/>
        <w:ind w:left="0" w:firstLine="841"/>
        <w:keepLines w:val="0"/>
        <w:keepNext w:val="0"/>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最高限价：</w:t>
      </w:r>
      <w:r>
        <w:rPr>
          <w:rFonts w:hint="eastAsia" w:ascii="宋体" w:hAnsi="宋体" w:eastAsia="宋体" w:cs="宋体"/>
          <w:color w:val="auto"/>
          <w:sz w:val="21"/>
          <w:szCs w:val="21"/>
          <w:highlight w:val="none"/>
          <w:shd w:val="clear" w:color="auto" w:fill="ffffff"/>
        </w:rPr>
        <w:t xml:space="preserve">人民币 贰佰零伍万元整（小写：2050000.00元）</w:t>
      </w:r>
      <w:r/>
    </w:p>
    <w:p>
      <w:pPr>
        <w:pStyle w:val="673"/>
        <w:ind w:left="0" w:firstLine="420"/>
        <w:keepLines w:val="0"/>
        <w:keepNext w:val="0"/>
        <w:pageBreakBefore w:val="0"/>
        <w:spacing w:line="360" w:lineRule="auto"/>
        <w:rPr>
          <w:rFonts w:hint="eastAsia" w:ascii="宋体" w:hAnsi="宋体" w:eastAsia="宋体" w:cs="宋体"/>
          <w:bCs/>
          <w:color w:val="auto"/>
          <w:sz w:val="21"/>
          <w:szCs w:val="21"/>
          <w:highlight w:val="none"/>
          <w:shd w:val="clear" w:color="auto" w:fill="ffffff"/>
          <w:lang w:eastAsia="zh-CN"/>
        </w:rPr>
      </w:pPr>
      <w:r>
        <w:rPr>
          <w:rFonts w:hint="eastAsia" w:ascii="宋体" w:hAnsi="宋体" w:eastAsia="宋体" w:cs="宋体"/>
          <w:b/>
          <w:bCs/>
          <w:color w:val="auto"/>
          <w:sz w:val="21"/>
          <w:szCs w:val="21"/>
          <w:highlight w:val="none"/>
        </w:rPr>
        <w:t xml:space="preserve">五、服务期限（合同履约期限）：</w:t>
      </w:r>
      <w:r>
        <w:rPr>
          <w:rFonts w:hint="eastAsia" w:ascii="宋体" w:hAnsi="宋体" w:eastAsia="宋体" w:cs="宋体"/>
          <w:bCs/>
          <w:color w:val="auto"/>
          <w:sz w:val="21"/>
          <w:szCs w:val="21"/>
          <w:highlight w:val="none"/>
          <w:shd w:val="clear" w:color="auto" w:fill="ffffff"/>
          <w:lang w:eastAsia="zh-CN"/>
        </w:rPr>
        <w:t xml:space="preserve">24个月（实际进场日期以采购人书面通知为准）。</w:t>
      </w:r>
      <w:r/>
    </w:p>
    <w:p>
      <w:pPr>
        <w:pStyle w:val="700"/>
        <w:ind w:firstLine="422"/>
        <w:jc w:val="both"/>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六、本项目的服务内容与要求</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（一）维保要求：</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1、维保范围：金鸡湖社区卫生服务中心医疗设备运维服务，包括整机、零备件及易损件（包含中心本部、兆佳巷分中心及10家社区卫生服务站）。详见附件设备清单。</w:t>
      </w:r>
      <w:r>
        <w:rPr>
          <w:rFonts w:hint="eastAsia" w:ascii="宋体" w:hAnsi="宋体" w:eastAsia="宋体" w:cs="宋体"/>
          <w:b/>
          <w:bCs/>
          <w:color w:val="auto"/>
          <w:sz w:val="21"/>
          <w:szCs w:val="21"/>
          <w:highlight w:val="none"/>
          <w:lang w:val="en-US" w:eastAsia="zh-CN"/>
        </w:rPr>
        <w:t xml:space="preserve">本项目维保设备包含但不限于附件所列设备清单。鉴于各部门近期若出现设备新增的情况，成交后供应商须与采购人再次核对设备清单，所有费用包含在本次报价中。同时</w:t>
      </w:r>
      <w:r>
        <w:rPr>
          <w:rFonts w:hint="eastAsia" w:ascii="宋体" w:hAnsi="宋体" w:eastAsia="宋体" w:cs="宋体"/>
          <w:b/>
          <w:bCs/>
          <w:color w:val="auto"/>
          <w:sz w:val="21"/>
          <w:szCs w:val="21"/>
          <w:highlight w:val="none"/>
          <w:lang w:val="en-US" w:eastAsia="zh-CN"/>
        </w:rPr>
        <w:t xml:space="preserve">合同期内，采购方新增（除CT、DR）医疗设备的运维服务也由成交方提供，采购人不再支付额外费用。</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2、安排专职驻场工程师一名（提供培训证书），驻场工程师负责医疗设备的巡检、保养及日常维修等工作。</w:t>
      </w:r>
      <w:r>
        <w:rPr>
          <w:rFonts w:hint="eastAsia" w:ascii="宋体" w:hAnsi="宋体" w:eastAsia="宋体" w:cs="宋体"/>
          <w:color w:val="auto"/>
          <w:sz w:val="21"/>
          <w:szCs w:val="21"/>
          <w:highlight w:val="none"/>
          <w:lang w:val="en-US" w:eastAsia="zh-CN"/>
        </w:rPr>
        <w:t xml:space="preserve">为保证服务及时性，供应商还须配备不少</w:t>
      </w:r>
      <w:r>
        <w:rPr>
          <w:rFonts w:hint="eastAsia" w:ascii="宋体" w:hAnsi="宋体" w:eastAsia="宋体" w:cs="宋体"/>
          <w:color w:val="auto"/>
          <w:sz w:val="21"/>
          <w:szCs w:val="21"/>
          <w:highlight w:val="none"/>
          <w:lang w:val="en-US" w:eastAsia="zh-CN"/>
        </w:rPr>
        <w:t xml:space="preserve">于2名工</w:t>
      </w:r>
      <w:r>
        <w:rPr>
          <w:rFonts w:hint="eastAsia" w:ascii="宋体" w:hAnsi="宋体" w:eastAsia="宋体" w:cs="宋体"/>
          <w:color w:val="auto"/>
          <w:sz w:val="21"/>
          <w:szCs w:val="21"/>
          <w:highlight w:val="none"/>
          <w:lang w:val="en-US" w:eastAsia="zh-CN"/>
        </w:rPr>
        <w:t xml:space="preserve">程师，根据采购方需求临时调用，保障在项目当地及时上门服务，</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3、提供驻场工程师外的其他工程师的无限次上门维修服务，维修人员的工时费、差旅费等全部支出和费用均已包含在合同价款内，采购方无需另行支付。</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4、保证所保设备（除急救设备和急用设备外）全年工作日的开机率达到95%，，每超过1天则维保期往后顺延3天。</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在合同期内因故障而需更换的备件及易损件，不受数量限制。易损件包括球管、探头、袖带、血氧指夹、光源、可以重复使用的呼吸管路、导联线、消毒灭菌灯管、电池、纯水机耗材、预防接种门诊及口腔科检验科UPS电池、空气过滤器等。</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6、大型设备（如CT、DR、超声）更换配件须保证原厂配件。</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7、接到采购方报修后，供应商在一小时内响应，具体到场维修时间与科室沟通后确定，保证维修的及时性。</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8、评估及报废处理原则：对使用多年或已经停产、厂家或第三方均无法提供备件、供应商无法修复的设备，供应商应提交纸质申请，由设备管理部门查正同意后，方可办理报废。</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9、协助采购方跟进新设备的安装，验收等工作。</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bidi="ar"/>
        </w:rPr>
        <w:t xml:space="preserve">在维保服务期内，若发生因供应商医疗设备维保不当从而导致的医疗事故，相关一切责任将由供应商承担，与采购人无关。</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（二）设备巡检保养细则</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1、保养要求：医疗设备按分类及实际使用情况对各类设备保养周期计划。</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按照保养计划对设备进行保养。对于急救类、生命支持类以及万元以上其他医疗设备的维修、保养、巡查记录存档。</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2、协助计量检测（包含强检与非强检）：建立强检计划，并设定提醒周期、需要强检的设备进行规范的送检，或者协助外联系强检机构上门检测、协助采购方将检测报告归档保存。</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3、对于重要生命支持类（例如除颤，呼吸机，监护，电刀）等设备，在例行保养、巡检（至少每月一次）和维修后记录在案签字后归档。</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4、巡检要求，重点科室（如口腔科）需每周巡检，有问题及时处理，其余重点设备如：CT、DR、超声、胃肠镜每月一次巡检，且巡检后需要科室签字确认并存档，其他科室设备执行每月一次巡检。</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5、对设备维修历史数据及发生的情况进行统计分析，根据预测有针对性的对负责的设备做出相关零备件安全库存。</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6、根据运维计划每季度提供服务报告给采购人管理层，年度结束提供年度维修综合报告。</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7、按照采购人管理要求协助统计分析采购人需要的报告数据。</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（三）其他要求：</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为保证设备维保有序进行,供应商须配备一套成熟管理软件，管理软件需包含以下功能：</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1、基础信息管理：记录设备的基本信息如生产厂家、型号、序列号，设备开始使用时间、使用科室等详细信息。</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2、信息提示：具备根据既定的条件自动产生巡检、强检、保养、报废等信息并及时提醒。</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3、监管管理：对医疗设备在使用过程中发生的不良事件和自查报告等关键信息进行实时监督。</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4、强检管理：具备在医疗设备强检前自动产生预警,为设备的强检提供管理 。</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5、维修管理：实现从报修到维修完毕的全过程管理,并纪录设备维修中的各类的信息</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包括故障情况,维修备件,时间节点等,并可通过系统对维修效率等进行分析。</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6、设备盘点：通过移动端实现医疗设备的盘点管理功能。</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7、设备巡检：实现设备的日常巡检管理，并能产生相应的提示和报表分析。</w:t>
      </w:r>
      <w:r/>
    </w:p>
    <w:p>
      <w:pPr>
        <w:pStyle w:val="673"/>
        <w:ind w:left="0"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8、设备管理移动终端化：实现设备管理的移动终端化，包括：设备维修、设备保养、设备巡检，并提供移动端的信息推送。</w:t>
      </w:r>
      <w:r/>
    </w:p>
    <w:p>
      <w:pPr>
        <w:pStyle w:val="673"/>
        <w:ind w:left="0" w:firstLine="420"/>
        <w:spacing w:line="360" w:lineRule="auto"/>
        <w:rPr>
          <w:rFonts w:hint="eastAsia" w:ascii="宋体" w:hAnsi="宋体"/>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9、报表管理：系统提供医疗设备管理报表。如：开机率、维修时间等。</w:t>
      </w:r>
      <w:r/>
    </w:p>
    <w:p>
      <w:pPr>
        <w:pStyle w:val="673"/>
        <w:ind w:left="0" w:firstLine="420"/>
        <w:spacing w:line="360" w:lineRule="auto"/>
        <w:rPr>
          <w:rFonts w:ascii="宋体" w:hAnsi="宋体" w:eastAsia="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w:t>
      </w:r>
      <w:r>
        <w:rPr>
          <w:rFonts w:ascii="宋体" w:hAnsi="宋体" w:eastAsia="宋体"/>
          <w:b/>
          <w:color w:val="auto"/>
          <w:sz w:val="21"/>
          <w:szCs w:val="21"/>
          <w:highlight w:val="none"/>
        </w:rPr>
        <w:t xml:space="preserve">综合说明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各供应商须对全部内容进行响应，只报其中部分内容的，为无效报价，并不得出现选择性报价。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供应商所投本项目服务中产品的生产、制造、安装等，各项技术标准应当符合国家（强制性）标准、各项规范要求；国家没有相应标准、规范的，可使用行业标准、规定；非标设备按采购文件约定的技术要求和规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3、供应商所响应服务的产品应能够至少达到以上技术要求，同时必须明确详细技术参数及性能说明。供应商所响应的产品必须在技术、功能、性能等参数上满足或高于招标文件的要求。</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4、供应商必须说明其是否响应采购文件中提出的全部服务内容与要求，如果其中某些条款不响应时，应在文件中逐条列出，未列出的视同</w:t>
      </w:r>
      <w:r>
        <w:rPr>
          <w:rFonts w:hint="eastAsia" w:ascii="宋体" w:hAnsi="宋体"/>
          <w:color w:val="auto"/>
          <w:szCs w:val="21"/>
          <w:highlight w:val="none"/>
        </w:rPr>
        <w:t xml:space="preserve">非实质性</w:t>
      </w:r>
      <w:r>
        <w:rPr>
          <w:rFonts w:ascii="宋体" w:hAnsi="宋体"/>
          <w:color w:val="auto"/>
          <w:szCs w:val="21"/>
          <w:highlight w:val="none"/>
        </w:rPr>
        <w:t xml:space="preserve">响应。</w:t>
      </w:r>
      <w:r/>
    </w:p>
    <w:p>
      <w:pPr>
        <w:ind w:firstLine="420"/>
        <w:spacing w:line="360" w:lineRule="auto"/>
        <w:rPr>
          <w:rFonts w:hAnsi="宋体" w:cs="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hAnsi="宋体" w:cs="宋体"/>
          <w:color w:val="auto"/>
          <w:szCs w:val="21"/>
          <w:highlight w:val="none"/>
        </w:rPr>
        <w:t xml:space="preserve">本项目报价为综合报价，报价包括完成该项目所有服务管理内容所需的人工、机械设备、工具器具、燃料费、耗材、通讯、维护、技术支持与培训及相关劳务支出等工作所发生的全部费用以及企业管理费、利润、各种税金和政策性文件规定及合同包含的所有风险、责任等各项应有费用。</w:t>
      </w:r>
      <w:r/>
    </w:p>
    <w:p>
      <w:pPr>
        <w:ind w:firstLine="422"/>
        <w:spacing w:line="360" w:lineRule="auto"/>
        <w:rPr>
          <w:rFonts w:hAnsi="宋体"/>
          <w:color w:val="auto"/>
          <w:szCs w:val="21"/>
          <w:highlight w:val="none"/>
        </w:rPr>
      </w:pPr>
      <w:r>
        <w:rPr>
          <w:rFonts w:hint="eastAsia" w:ascii="宋体" w:hAnsi="宋体" w:cs="Cambria"/>
          <w:b/>
          <w:bCs/>
          <w:color w:val="auto"/>
          <w:szCs w:val="21"/>
          <w:highlight w:val="none"/>
          <w:lang w:val="en-US" w:eastAsia="zh-CN"/>
        </w:rPr>
        <w:t xml:space="preserve">6</w:t>
      </w:r>
      <w:r>
        <w:rPr>
          <w:rFonts w:hint="eastAsia" w:ascii="宋体" w:hAnsi="宋体" w:cs="Cambria"/>
          <w:b/>
          <w:bCs/>
          <w:color w:val="auto"/>
          <w:szCs w:val="21"/>
          <w:highlight w:val="none"/>
        </w:rPr>
        <w:t xml:space="preserve">、合同价款及付款方式、履约保证金：详见第四章合同条款。</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八</w:t>
      </w:r>
      <w:r>
        <w:rPr>
          <w:rFonts w:hint="eastAsia" w:ascii="宋体" w:hAnsi="宋体" w:cs="宋体"/>
          <w:b/>
          <w:bCs/>
          <w:color w:val="auto"/>
          <w:szCs w:val="21"/>
          <w:highlight w:val="none"/>
        </w:rPr>
        <w:t xml:space="preserve">、需要落实的政府采购政策：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（一）本项目</w:t>
      </w:r>
      <w:r>
        <w:rPr>
          <w:rFonts w:hint="eastAsia" w:ascii="宋体" w:hAnsi="宋体" w:cs="宋体"/>
          <w:color w:val="auto"/>
          <w:szCs w:val="21"/>
          <w:highlight w:val="none"/>
          <w:lang w:val="en-US" w:eastAsia="zh-CN"/>
        </w:rPr>
        <w:t xml:space="preserve">非</w:t>
      </w:r>
      <w:r>
        <w:rPr>
          <w:rFonts w:hint="eastAsia" w:ascii="宋体" w:hAnsi="宋体" w:cs="宋体"/>
          <w:color w:val="auto"/>
          <w:szCs w:val="21"/>
          <w:highlight w:val="none"/>
        </w:rPr>
        <w:t xml:space="preserve">专门面向中小企业</w:t>
      </w:r>
      <w:r>
        <w:rPr>
          <w:rFonts w:hint="eastAsia" w:ascii="宋体" w:hAnsi="宋体" w:cs="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（二）本项目采购标的对应的中小企业划分标准所属行业为</w:t>
      </w:r>
      <w:r>
        <w:rPr>
          <w:rFonts w:hint="eastAsia" w:ascii="宋体" w:hAnsi="宋体" w:cs="宋体"/>
          <w:color w:val="auto"/>
          <w:szCs w:val="21"/>
          <w:highlight w:val="none"/>
          <w:u w:val="single"/>
          <w:lang w:eastAsia="zh-CN"/>
        </w:rPr>
        <w:t xml:space="preserve">其他未列明行业</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中小微企业划型标准根据《中小企业划型标准规定》（工信部联企业【2011】300号）</w:t>
      </w:r>
      <w:r>
        <w:rPr>
          <w:rFonts w:hint="eastAsia" w:ascii="宋体" w:hAnsi="宋体" w:cs="宋体"/>
          <w:color w:val="auto"/>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（三）依据《政府采购促进</w:t>
      </w:r>
      <w:r>
        <w:rPr>
          <w:rFonts w:hint="eastAsia" w:ascii="宋体" w:hAnsi="宋体" w:cs="宋体"/>
          <w:color w:val="auto"/>
          <w:szCs w:val="21"/>
          <w:highlight w:val="none"/>
        </w:rPr>
        <w:t xml:space="preserve">中小企业发展管理办法》规定享受扶持政策获得政府采购合同的，小微企业不得将合同分包给大中型企业，中型企业不得将合同分包给大型企业。</w:t>
      </w:r>
      <w:r/>
    </w:p>
    <w:p>
      <w:pPr>
        <w:ind w:firstLine="420"/>
        <w:spacing w:line="360" w:lineRule="auto"/>
        <w:tabs>
          <w:tab w:val="left" w:pos="567" w:leader="none"/>
        </w:tabs>
        <w:rPr>
          <w:rFonts w:ascii="宋体" w:hAnsi="宋体" w:cs="宋体"/>
          <w:color w:val="auto"/>
          <w:highlight w:val="none"/>
        </w:rPr>
      </w:pPr>
      <w:r>
        <w:rPr>
          <w:rFonts w:hint="eastAsia" w:ascii="宋体" w:hAnsi="宋体" w:cs="宋体"/>
          <w:color w:val="auto"/>
          <w:highlight w:val="none"/>
        </w:rPr>
        <w:t xml:space="preserve">（四）中小企业参加政府采购活动，应当出具《政府采购促进中小企业发展管理办法》附件规定《中小企业声明函》，否则不得享受相关中小企业扶持政策。</w:t>
      </w:r>
      <w:r/>
    </w:p>
    <w:p>
      <w:pPr>
        <w:ind w:firstLine="420"/>
        <w:spacing w:line="360" w:lineRule="auto"/>
        <w:tabs>
          <w:tab w:val="left" w:pos="567" w:leader="none"/>
        </w:tabs>
        <w:rPr>
          <w:rFonts w:ascii="宋体" w:hAnsi="宋体" w:cs="宋体"/>
          <w:b/>
          <w:bCs/>
          <w:color w:val="auto"/>
          <w:highlight w:val="none"/>
        </w:rPr>
      </w:pPr>
      <w:r>
        <w:rPr>
          <w:rFonts w:hint="eastAsia" w:ascii="宋体" w:hAnsi="宋体" w:cs="宋体"/>
          <w:color w:val="auto"/>
          <w:highlight w:val="none"/>
        </w:rPr>
        <w:t xml:space="preserve">（五）在政府采购活动中，供应商提供的服务符合下列情形的，享受《政府采购促进中小企业发展管理办法》规定的中小企业扶持政策：在服务采购项目中，</w:t>
      </w:r>
      <w:r>
        <w:rPr>
          <w:rFonts w:hint="eastAsia" w:ascii="宋体" w:hAnsi="宋体" w:cs="宋体"/>
          <w:b/>
          <w:bCs/>
          <w:color w:val="auto"/>
          <w:highlight w:val="none"/>
        </w:rPr>
        <w:t xml:space="preserve">服务由中小企业承接，即提供服务的人员为中小企业依照《中华人民共和国劳动合同法》订立劳动合同的从业人员。服务类项目中供应商若使用退休人员，将不享受相关扶持政策。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（六）若供应商提供的《中小企业声明函》为虚假声明则视同提供虚假材料，按政府采购相关规定处理并报请政府监管部门给予行政处罚。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（七）残疾人福利性单位：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numPr>
          <w:ilvl w:val="0"/>
          <w:numId w:val="3"/>
        </w:num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（九）绿色采购</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（十）信用记录：供应商被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2"/>
        <w:spacing w:line="360" w:lineRule="auto"/>
        <w:widowControl/>
        <w:tabs>
          <w:tab w:val="left" w:pos="753" w:leader="none"/>
        </w:tabs>
        <w:rPr>
          <w:rFonts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九</w:t>
      </w:r>
      <w:r>
        <w:rPr>
          <w:rFonts w:hint="eastAsia" w:ascii="宋体" w:hAnsi="宋体" w:cs="宋体"/>
          <w:b/>
          <w:color w:val="auto"/>
          <w:szCs w:val="21"/>
          <w:highlight w:val="none"/>
        </w:rPr>
        <w:t xml:space="preserve">、响应文件的组成及要求：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（一）文件组成（部分格式见第二章）</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1、响应文件（报价、资格及技术部分）：</w:t>
      </w:r>
      <w:r/>
    </w:p>
    <w:p>
      <w:pPr>
        <w:pStyle w:val="849"/>
        <w:ind w:firstLine="422"/>
        <w:spacing w:line="360" w:lineRule="auto"/>
        <w:rPr>
          <w:rFonts w:hAnsi="宋体" w:cs="宋体"/>
          <w:b/>
          <w:color w:val="auto"/>
          <w:szCs w:val="21"/>
          <w:highlight w:val="none"/>
        </w:rPr>
      </w:pPr>
      <w:r>
        <w:rPr>
          <w:rFonts w:hint="eastAsia" w:hAnsi="宋体" w:cs="宋体"/>
          <w:b/>
          <w:color w:val="auto"/>
          <w:szCs w:val="21"/>
          <w:highlight w:val="none"/>
        </w:rPr>
        <w:t xml:space="preserve">1.1响应报价一览表 （总报价）</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响应报价明细表</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1.3资格审查响应文件</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1.3.1</w:t>
      </w:r>
      <w:r>
        <w:rPr>
          <w:rFonts w:hint="eastAsia" w:ascii="宋体" w:hAnsi="宋体" w:cs="宋体"/>
          <w:color w:val="auto"/>
          <w:szCs w:val="21"/>
          <w:highlight w:val="none"/>
          <w:shd w:val="clear" w:color="auto" w:fill="ffffff"/>
        </w:rPr>
        <w:t xml:space="preserve">具有独立承担民事责任的能力的材料：包括法人或者其他组织的营业执照等证明文件，自然人的身份证明；</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1.3.2</w:t>
      </w:r>
      <w:r>
        <w:rPr>
          <w:rFonts w:hint="eastAsia" w:ascii="宋体" w:hAnsi="宋体" w:cs="宋体"/>
          <w:color w:val="auto"/>
          <w:szCs w:val="21"/>
          <w:highlight w:val="none"/>
          <w:shd w:val="clear" w:color="auto" w:fill="ffffff"/>
        </w:rPr>
        <w:t xml:space="preserve">具有良好的商业信誉和健全的财务会计制度的材料：</w:t>
      </w:r>
      <w:bookmarkStart w:id="3" w:name="_Hlk92792283"/>
      <w:r>
        <w:rPr>
          <w:rFonts w:hint="eastAsia" w:ascii="宋体" w:hAnsi="宋体" w:cs="宋体"/>
          <w:color w:val="auto"/>
          <w:szCs w:val="21"/>
          <w:highlight w:val="none"/>
          <w:shd w:val="clear" w:color="auto" w:fill="ffffff"/>
        </w:rPr>
        <w:t xml:space="preserve">最近一期的财务</w:t>
      </w:r>
      <w:r>
        <w:rPr>
          <w:rFonts w:hint="eastAsia" w:ascii="宋体" w:hAnsi="宋体" w:cs="宋体"/>
          <w:color w:val="auto"/>
          <w:szCs w:val="21"/>
          <w:highlight w:val="none"/>
          <w:shd w:val="clear" w:color="auto" w:fill="ffffff"/>
          <w:lang w:val="en-US" w:eastAsia="zh-CN"/>
        </w:rPr>
        <w:t xml:space="preserve">审计报告</w:t>
      </w:r>
      <w:r>
        <w:rPr>
          <w:rFonts w:hint="eastAsia" w:ascii="宋体" w:hAnsi="宋体" w:cs="宋体"/>
          <w:color w:val="auto"/>
          <w:szCs w:val="21"/>
          <w:highlight w:val="none"/>
          <w:shd w:val="clear" w:color="auto" w:fill="ffffff"/>
        </w:rPr>
        <w:t xml:space="preserve">，或银行出具的资信证明，或财政部门认可的政府采购专业担保机构出具的投标担保函；</w:t>
      </w:r>
      <w:bookmarkEnd w:id="3"/>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1.3.3</w:t>
      </w:r>
      <w:r>
        <w:rPr>
          <w:rFonts w:hint="eastAsia" w:ascii="宋体" w:hAnsi="宋体" w:cs="宋体"/>
          <w:color w:val="auto"/>
          <w:szCs w:val="21"/>
          <w:highlight w:val="none"/>
          <w:shd w:val="clear" w:color="auto" w:fill="ffffff"/>
        </w:rPr>
        <w:t xml:space="preserve">具有履行合同所必需的设备和专业技术能力的证明材料：供应商具有履行合同所必需的设备和专业技术能力的承诺函；</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1.3.4</w:t>
      </w:r>
      <w:r>
        <w:rPr>
          <w:rFonts w:hint="eastAsia" w:ascii="宋体" w:hAnsi="宋体" w:cs="宋体"/>
          <w:color w:val="auto"/>
          <w:szCs w:val="21"/>
          <w:highlight w:val="none"/>
          <w:shd w:val="clear" w:color="auto" w:fill="ffffff"/>
        </w:rPr>
        <w:t xml:space="preserve">有依法缴纳税收和社会保障资金的良好记录的材料：</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shd w:val="clear" w:color="auto" w:fill="ffffff"/>
        </w:rPr>
        <w:t xml:space="preserve">，应提供相应证明资料证明其依法免税或不需要缴纳社会保障资金，</w:t>
      </w:r>
      <w:r>
        <w:rPr>
          <w:rFonts w:hint="eastAsia" w:ascii="宋体" w:hAnsi="宋体" w:cs="宋体"/>
          <w:b/>
          <w:bCs/>
          <w:color w:val="auto"/>
          <w:szCs w:val="21"/>
          <w:highlight w:val="none"/>
          <w:shd w:val="clear" w:color="auto" w:fill="ffffff"/>
        </w:rPr>
        <w:t xml:space="preserve">否则不予认可</w:t>
      </w:r>
      <w:r>
        <w:rPr>
          <w:rFonts w:hint="eastAsia" w:ascii="宋体" w:hAnsi="宋体" w:cs="宋体"/>
          <w:color w:val="auto"/>
          <w:szCs w:val="21"/>
          <w:highlight w:val="none"/>
          <w:shd w:val="clear" w:color="auto" w:fill="ffffff"/>
        </w:rPr>
        <w:t xml:space="preserve">；</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1.3.5</w:t>
      </w:r>
      <w:r>
        <w:rPr>
          <w:rFonts w:hint="eastAsia" w:ascii="宋体" w:hAnsi="宋体" w:cs="宋体"/>
          <w:color w:val="auto"/>
          <w:szCs w:val="21"/>
          <w:highlight w:val="none"/>
          <w:shd w:val="clear" w:color="auto" w:fill="ffffff"/>
        </w:rPr>
        <w:t xml:space="preserve">参加政府采购活动前三年内在经营活动中没有重大违法记录的书面声明函；（格式见第二章）</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1.3.6</w:t>
      </w:r>
      <w:r>
        <w:rPr>
          <w:rFonts w:hint="eastAsia" w:ascii="宋体" w:hAnsi="宋体" w:cs="宋体"/>
          <w:color w:val="auto"/>
          <w:szCs w:val="21"/>
          <w:highlight w:val="none"/>
          <w:shd w:val="clear" w:color="auto" w:fill="ffffff"/>
        </w:rPr>
        <w:t xml:space="preserve">中小企业声明函（如有）（格式见第二章），未提供视为非中小企业，不享受中小企业扶持政策；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1.3.7</w:t>
      </w:r>
      <w:r>
        <w:rPr>
          <w:rFonts w:hint="eastAsia" w:ascii="宋体" w:hAnsi="宋体" w:cs="宋体"/>
          <w:color w:val="auto"/>
          <w:szCs w:val="21"/>
          <w:highlight w:val="none"/>
          <w:shd w:val="clear" w:color="auto" w:fill="ffffff"/>
        </w:rPr>
        <w:t xml:space="preserve">残疾人福利性单位声明函（如有）（格式见第二章），未提供视为非残疾人福利性单位，不视同小微企业，不享受残疾人福利性单位政策；</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1.3.8</w:t>
      </w:r>
      <w:r>
        <w:rPr>
          <w:rFonts w:hint="eastAsia" w:ascii="宋体" w:hAnsi="宋体" w:cs="宋体"/>
          <w:color w:val="auto"/>
          <w:szCs w:val="21"/>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firstLine="422"/>
        <w:spacing w:line="360" w:lineRule="auto"/>
        <w:rPr>
          <w:rFonts w:ascii="宋体" w:hAnsi="宋体" w:cs="宋体"/>
          <w:b/>
          <w:bCs/>
          <w:color w:val="auto"/>
          <w:szCs w:val="21"/>
          <w:highlight w:val="none"/>
          <w:u w:val="single"/>
          <w:shd w:val="clear" w:color="auto" w:fill="ffffff"/>
        </w:rPr>
      </w:pPr>
      <w:r/>
      <w:bookmarkStart w:id="4" w:name="_Hlk158127728"/>
      <w:r>
        <w:rPr>
          <w:rFonts w:hint="eastAsia" w:ascii="宋体" w:hAnsi="宋体" w:cs="宋体"/>
          <w:b/>
          <w:bCs/>
          <w:color w:val="auto"/>
          <w:szCs w:val="21"/>
          <w:highlight w:val="none"/>
          <w:u w:val="single"/>
          <w:shd w:val="clear" w:color="auto" w:fill="ffffff"/>
        </w:rPr>
        <w:t xml:space="preserve">以上1.3.1—1.3.5项是资格审查要求必须提供的材料</w:t>
      </w:r>
      <w:r>
        <w:rPr>
          <w:rFonts w:hint="eastAsia" w:ascii="宋体" w:hAnsi="宋体" w:cs="宋体"/>
          <w:b/>
          <w:bCs/>
          <w:color w:val="auto"/>
          <w:szCs w:val="21"/>
          <w:highlight w:val="none"/>
          <w:u w:val="single"/>
          <w:shd w:val="clear" w:color="auto" w:fill="ffffff"/>
          <w:lang w:eastAsia="zh-CN"/>
        </w:rPr>
        <w:t xml:space="preserve">，</w:t>
      </w:r>
      <w:r>
        <w:rPr>
          <w:rFonts w:hint="eastAsia" w:ascii="宋体" w:hAnsi="宋体" w:cs="宋体"/>
          <w:b/>
          <w:bCs/>
          <w:color w:val="auto"/>
          <w:szCs w:val="21"/>
          <w:highlight w:val="none"/>
          <w:u w:val="single"/>
          <w:shd w:val="clear" w:color="auto" w:fill="ffffff"/>
        </w:rPr>
        <w:t xml:space="preserve">否则响应无效</w:t>
      </w:r>
      <w:bookmarkEnd w:id="4"/>
      <w:r>
        <w:rPr>
          <w:rFonts w:hint="eastAsia" w:ascii="宋体" w:hAnsi="宋体" w:cs="宋体"/>
          <w:b/>
          <w:bCs/>
          <w:color w:val="auto"/>
          <w:szCs w:val="21"/>
          <w:highlight w:val="none"/>
          <w:u w:val="single"/>
          <w:shd w:val="clear" w:color="auto" w:fill="ffffff"/>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1.4符合性审查响应文件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1.4.1投标（响应）函（格式见第二章）；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1.4.2关于资格文件的声明函（格式见第二章）；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1.4.3法定代表人授权委托书（如有授权）；</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1.4.4供应商法定代表人身份证扫描件、供应商代理人身份证扫描件（如有授权）；</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1.4.5《供应商与其他单位存在直接控股、管理关系情况表》（格式见第二章）；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1.4.6《商务和技术要求偏离表》（格式见第二章）；</w:t>
      </w:r>
      <w:r/>
    </w:p>
    <w:p>
      <w:pPr>
        <w:ind w:firstLine="420"/>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rPr>
        <w:t xml:space="preserve">7《针对本项目投入专业技术（服务）人员情况一览表》（格式见第</w:t>
      </w:r>
      <w:r>
        <w:rPr>
          <w:rFonts w:hint="eastAsia" w:ascii="宋体" w:hAnsi="宋体" w:cs="宋体"/>
          <w:color w:val="auto"/>
          <w:szCs w:val="21"/>
          <w:highlight w:val="none"/>
        </w:rPr>
        <w:t xml:space="preserve">二章）；</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《服务实施方案》；</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shd w:val="clear" w:color="auto" w:fill="ffffff"/>
        </w:rPr>
        <w:t xml:space="preserve">采购需求中所涉及到的或供应商认为需加以说明或证明的其他有关符合性证明材料、证明（如有）；</w:t>
      </w:r>
      <w:r/>
    </w:p>
    <w:p>
      <w:pPr>
        <w:ind w:firstLine="422"/>
        <w:spacing w:line="360" w:lineRule="auto"/>
        <w:rPr>
          <w:rFonts w:ascii="宋体" w:hAnsi="宋体" w:cs="宋体"/>
          <w:b/>
          <w:bCs/>
          <w:color w:val="auto"/>
          <w:szCs w:val="21"/>
          <w:highlight w:val="none"/>
          <w:u w:val="single"/>
          <w:shd w:val="clear" w:color="auto" w:fill="ffffff"/>
        </w:rPr>
      </w:pPr>
      <w:r>
        <w:rPr>
          <w:rFonts w:hint="eastAsia" w:ascii="宋体" w:hAnsi="宋体" w:cs="宋体"/>
          <w:b/>
          <w:bCs/>
          <w:color w:val="auto"/>
          <w:szCs w:val="21"/>
          <w:highlight w:val="none"/>
          <w:u w:val="single"/>
          <w:shd w:val="clear" w:color="auto" w:fill="ffffff"/>
        </w:rPr>
        <w:t xml:space="preserve">以上1.4.1—1.4.</w:t>
      </w:r>
      <w:r>
        <w:rPr>
          <w:rFonts w:hint="eastAsia" w:ascii="宋体" w:hAnsi="宋体" w:cs="宋体"/>
          <w:b/>
          <w:bCs/>
          <w:color w:val="auto"/>
          <w:szCs w:val="21"/>
          <w:highlight w:val="none"/>
          <w:u w:val="single"/>
          <w:shd w:val="clear" w:color="auto" w:fill="ffffff"/>
          <w:lang w:val="en-US" w:eastAsia="zh-CN"/>
        </w:rPr>
        <w:t xml:space="preserve">9</w:t>
      </w:r>
      <w:r>
        <w:rPr>
          <w:rFonts w:hint="eastAsia" w:ascii="宋体" w:hAnsi="宋体" w:cs="宋体"/>
          <w:b/>
          <w:bCs/>
          <w:color w:val="auto"/>
          <w:szCs w:val="21"/>
          <w:highlight w:val="none"/>
          <w:u w:val="single"/>
          <w:shd w:val="clear" w:color="auto" w:fill="ffffff"/>
        </w:rPr>
        <w:t xml:space="preserve">为符合性审查必须提供的资料，否则响应无效。</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1.5综合评审文件</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shd w:val="clear" w:color="auto" w:fill="ffffff"/>
        </w:rPr>
        <w:t xml:space="preserve">1.5.1评分标准中所涉及到针对本项目的各项服务实施方案、相关制度、证书、业绩、承诺函及其他材料、证明等（部分格式见第二章）。</w:t>
      </w:r>
      <w:r/>
    </w:p>
    <w:p>
      <w:pPr>
        <w:ind w:firstLine="422"/>
        <w:spacing w:line="360" w:lineRule="auto"/>
        <w:tabs>
          <w:tab w:val="left" w:pos="753" w:leader="none"/>
        </w:tabs>
        <w:rPr>
          <w:rFonts w:ascii="宋体" w:hAnsi="宋体" w:cs="宋体"/>
          <w:color w:val="auto"/>
          <w:szCs w:val="21"/>
          <w:highlight w:val="none"/>
          <w:shd w:val="clear" w:color="auto" w:fill="ffffff"/>
        </w:rPr>
      </w:pPr>
      <w:r>
        <w:rPr>
          <w:rFonts w:hint="eastAsia" w:ascii="宋体" w:hAnsi="宋体" w:cs="宋体"/>
          <w:b/>
          <w:bCs/>
          <w:color w:val="auto"/>
          <w:szCs w:val="21"/>
          <w:highlight w:val="none"/>
        </w:rPr>
        <w:t xml:space="preserve">注：</w:t>
      </w:r>
      <w:bookmarkStart w:id="5" w:name="_Hlk158131259"/>
      <w:r>
        <w:rPr>
          <w:rFonts w:hint="eastAsia" w:ascii="宋体" w:hAnsi="宋体" w:cs="宋体"/>
          <w:color w:val="auto"/>
          <w:szCs w:val="21"/>
          <w:highlight w:val="none"/>
          <w:shd w:val="clear" w:color="auto" w:fill="ffffff"/>
        </w:rPr>
        <w:t xml:space="preserve">①制作电子响应文件时请与电子响应文件制作软件目录一一对应，将相关资料上传至相应模块。供应商应保证上传的响应文件完整、清晰可辨认，若因上传资料过小或模糊不清等无法辨认的都视为该资料未提供。</w:t>
      </w:r>
      <w:r/>
    </w:p>
    <w:p>
      <w:pPr>
        <w:pStyle w:val="669"/>
        <w:ind w:firstLine="422"/>
        <w:jc w:val="both"/>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shd w:val="clear" w:color="auto" w:fill="ffffff"/>
        </w:rPr>
        <w:t xml:space="preserve">②</w:t>
      </w:r>
      <w:r>
        <w:rPr>
          <w:rFonts w:hint="eastAsia" w:ascii="宋体" w:hAnsi="宋体" w:cs="宋体"/>
          <w:b/>
          <w:bCs/>
          <w:color w:val="auto"/>
          <w:sz w:val="21"/>
          <w:szCs w:val="21"/>
          <w:highlight w:val="none"/>
        </w:rPr>
        <w:t xml:space="preserve">电子响应文件应在响应文件要求处加盖CA电子公章。若未按要求制作的磋商响应文件将被拒绝。</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③供应商必须保证全部响应资料的真实性，如有虚假或对磋商文件所要求说明的情况故意隐瞒或虚报，视为不实质性响应磋商文件，响应无效。</w:t>
      </w:r>
      <w:r/>
    </w:p>
    <w:p>
      <w:pPr>
        <w:ind w:firstLine="420"/>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④如供应商响应文件中某些条款不响应磋商文件提出的全部服务内容与要求，须在偏离表中逐条列出，未列出的视同响应。</w:t>
      </w:r>
      <w:bookmarkEnd w:id="5"/>
      <w:r/>
      <w:r/>
    </w:p>
    <w:p>
      <w:pPr>
        <w:ind w:firstLine="422"/>
        <w:spacing w:line="360" w:lineRule="auto"/>
        <w:rPr>
          <w:rFonts w:ascii="宋体" w:hAnsi="宋体" w:cs="宋体"/>
          <w:b/>
          <w:color w:val="auto"/>
          <w:szCs w:val="21"/>
          <w:highlight w:val="none"/>
        </w:rPr>
      </w:pPr>
      <w:r>
        <w:rPr>
          <w:rFonts w:hint="eastAsia" w:ascii="宋体" w:hAnsi="宋体" w:cs="宋体"/>
          <w:b/>
          <w:bCs/>
          <w:color w:val="auto"/>
          <w:szCs w:val="21"/>
          <w:highlight w:val="none"/>
          <w:shd w:val="clear" w:color="auto" w:fill="ffffff"/>
        </w:rPr>
        <w:t xml:space="preserve">⑤磋商供应商必须提交上述1.1—1.4款规定的资料。否则，磋商响应文件将被视为因未实质性响应磋商文件要求而被拒绝。</w:t>
      </w:r>
      <w:r/>
    </w:p>
    <w:p>
      <w:pPr>
        <w:ind w:firstLine="422"/>
        <w:spacing w:line="360" w:lineRule="auto"/>
        <w:tabs>
          <w:tab w:val="left" w:pos="142" w:leader="none"/>
          <w:tab w:val="left" w:pos="600" w:leader="none"/>
        </w:tabs>
        <w:rPr>
          <w:rFonts w:ascii="宋体" w:hAnsi="宋体" w:cs="宋体"/>
          <w:b/>
          <w:color w:val="auto"/>
          <w:szCs w:val="21"/>
          <w:highlight w:val="none"/>
          <w:shd w:val="clear" w:color="auto" w:fill="ffffff"/>
        </w:rPr>
      </w:pPr>
      <w:r>
        <w:rPr>
          <w:rFonts w:hint="eastAsia" w:ascii="宋体" w:hAnsi="宋体" w:cs="宋体"/>
          <w:b/>
          <w:color w:val="auto"/>
          <w:szCs w:val="21"/>
          <w:highlight w:val="none"/>
          <w:shd w:val="clear" w:color="auto" w:fill="ffffff"/>
        </w:rPr>
        <w:t xml:space="preserve">2、电子响应文件的编制与</w:t>
      </w:r>
      <w:bookmarkStart w:id="6" w:name="_Hlk158131382"/>
      <w:r>
        <w:rPr>
          <w:rFonts w:hint="eastAsia" w:ascii="宋体" w:hAnsi="宋体" w:cs="宋体"/>
          <w:b/>
          <w:color w:val="auto"/>
          <w:szCs w:val="21"/>
          <w:highlight w:val="none"/>
          <w:shd w:val="clear" w:color="auto" w:fill="ffffff"/>
        </w:rPr>
        <w:t xml:space="preserve">递交</w:t>
      </w:r>
      <w:bookmarkEnd w:id="6"/>
      <w:r/>
      <w:r/>
    </w:p>
    <w:p>
      <w:pPr>
        <w:ind w:firstLine="420"/>
        <w:spacing w:line="360" w:lineRule="auto"/>
        <w:tabs>
          <w:tab w:val="left" w:pos="142" w:leader="none"/>
          <w:tab w:val="left" w:pos="600" w:leader="none"/>
        </w:tabs>
        <w:rPr>
          <w:rFonts w:ascii="宋体" w:hAnsi="宋体" w:cs="宋体"/>
          <w:color w:val="auto"/>
          <w:szCs w:val="21"/>
          <w:highlight w:val="none"/>
        </w:rPr>
      </w:pPr>
      <w:r/>
      <w:bookmarkStart w:id="7" w:name="_Hlk140247794"/>
      <w:r>
        <w:rPr>
          <w:rFonts w:hint="eastAsia" w:ascii="宋体" w:hAnsi="宋体" w:cs="宋体"/>
          <w:color w:val="auto"/>
          <w:szCs w:val="21"/>
          <w:highlight w:val="none"/>
        </w:rPr>
        <w:t xml:space="preserve">2.1电子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2.2电子响应文件递交：供应商应当按照《操作手册》指引，在响应文件提交截止时间前完成电子响应文件的上传，未按要求成功上传的响应文件视为未递交。供应商应充分考虑到网络环境、网络带宽等风险因素，如因供应商自身原因造成的电子投标文件上传不成功由供应商自行承担全部责任。</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如本项目在政府采购信息发布媒体上发布了更正（补充）公告，请供应商务必在“苏采云”系统中下载更正（补充）资料，根据更正后的磋商文件重新编制电子投标（响应）文件并递交，否则可能无法解密，因此导致的响应失败等不利后果由供应商自行承担。</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2.3响应文件未按照响应文件要求加盖CA电子公章的，响应无效。</w:t>
      </w:r>
      <w:r/>
    </w:p>
    <w:p>
      <w:pPr>
        <w:ind w:firstLine="420"/>
        <w:spacing w:line="360" w:lineRule="auto"/>
        <w:tabs>
          <w:tab w:val="left" w:pos="142" w:leader="none"/>
          <w:tab w:val="left" w:pos="600" w:leader="none"/>
        </w:tabs>
        <w:rPr>
          <w:rFonts w:ascii="宋体" w:hAnsi="宋体" w:cs="宋体"/>
          <w:color w:val="auto"/>
          <w:szCs w:val="21"/>
          <w:highlight w:val="none"/>
        </w:rPr>
      </w:pPr>
      <w:r/>
      <w:bookmarkStart w:id="8" w:name="_Hlk158134955"/>
      <w:r>
        <w:rPr>
          <w:rFonts w:hint="eastAsia" w:ascii="宋体" w:hAnsi="宋体" w:cs="宋体"/>
          <w:color w:val="auto"/>
          <w:szCs w:val="21"/>
          <w:highlight w:val="none"/>
        </w:rPr>
        <w:t xml:space="preserve">2.4联合体投标：如采购公告中允许联合体响应，联合体响应的响应文件制作上传操作如下：</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第一步：在响应文件中上传联合体响应协议书。（注：联合响应协议书须盖有联合体各方实体公章或电子章，否则响应无效。）</w:t>
      </w:r>
      <w:r/>
    </w:p>
    <w:p>
      <w:pPr>
        <w:ind w:firstLine="420"/>
        <w:spacing w:line="360" w:lineRule="auto"/>
        <w:tabs>
          <w:tab w:val="left" w:pos="142" w:leader="none"/>
          <w:tab w:val="left" w:pos="600" w:leader="none"/>
        </w:tabs>
        <w:rPr>
          <w:rFonts w:ascii="宋体" w:hAnsi="宋体" w:cs="宋体"/>
          <w:color w:val="auto"/>
          <w:szCs w:val="21"/>
          <w:highlight w:val="none"/>
        </w:rPr>
      </w:pPr>
      <w:r>
        <w:rPr>
          <w:rFonts w:hint="eastAsia" w:ascii="宋体" w:hAnsi="宋体" w:cs="宋体"/>
          <w:color w:val="auto"/>
          <w:szCs w:val="21"/>
          <w:highlight w:val="none"/>
        </w:rPr>
        <w:t xml:space="preserve">第二步；在响应文件中，由联合体中的牵头人制作响应文件。</w:t>
      </w:r>
      <w:bookmarkEnd w:id="8"/>
      <w:r/>
      <w:r/>
    </w:p>
    <w:p>
      <w:pPr>
        <w:ind w:firstLine="422"/>
        <w:spacing w:line="360" w:lineRule="auto"/>
        <w:tabs>
          <w:tab w:val="left" w:pos="142" w:leader="none"/>
          <w:tab w:val="left" w:pos="60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2.5如响应文件制作机器码信息一致，视为不同供应商使用同一台电脑编制响应文件，响应无效。</w:t>
      </w:r>
      <w:bookmarkEnd w:id="7"/>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十、磋商程序：</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1、采购代理机构按本须知规定的时间、地点主持磋商采购活动。</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2、供应商通过“苏采云”系统在线参与磋商活动。供应商应当按照《苏采云系统供应商操作手册》规定在“苏采云”系统规定的时间内对响应文件进行解密。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3、在磋商响应文件网上递交截止时间止成功解密的磋商供应商少于三家，则本次采购失败。</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4、由磋商小组审查供应商解密的响应文件。</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6、磋商小组要求供应商澄清、说明或者更正响应文件应当以书面形式做出。供应商的澄清、说明或者更正应当由其单位加盖电子公章。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cs="宋体"/>
          <w:b/>
          <w:color w:val="auto"/>
          <w:szCs w:val="21"/>
          <w:highlight w:val="none"/>
          <w:lang w:val="zh-CN"/>
        </w:rPr>
        <w:t xml:space="preserve">，如因供应商自身原因未在规定时间内提交澄清确认资料的，导致的不利后果由供应商自行承担</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s="宋体"/>
          <w:bCs/>
          <w:color w:val="auto"/>
          <w:szCs w:val="21"/>
          <w:highlight w:val="none"/>
        </w:rPr>
        <w:t xml:space="preserve">“苏采云”系统</w:t>
      </w:r>
      <w:r>
        <w:rPr>
          <w:rFonts w:hint="eastAsia" w:ascii="宋体" w:hAnsi="宋体" w:cs="宋体"/>
          <w:bCs/>
          <w:color w:val="auto"/>
          <w:szCs w:val="21"/>
          <w:highlight w:val="none"/>
          <w:lang w:val="zh-CN"/>
        </w:rPr>
        <w:t xml:space="preserve">提交“磋商响应函”并加盖CA电子公章。</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8、在磋商过程中，磋商小组可以根据磋商文件和磋商情况实质性变动采购需求中的技术、服务要求以及合同草案条款。对磋商文件做出的实质性变动是磋商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b/>
          <w:color w:val="auto"/>
          <w:szCs w:val="21"/>
          <w:highlight w:val="none"/>
        </w:rPr>
        <w:t xml:space="preserve">供应商填写有关承诺及第二次报价，除因磋商文件修改导致成本增加，二次报价不得超过第一次报价，否则为无效响应报价。</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Cs/>
          <w:color w:val="auto"/>
          <w:szCs w:val="21"/>
          <w:highlight w:val="none"/>
          <w:lang w:val="zh-CN"/>
        </w:rPr>
        <w:t xml:space="preserve">（</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rPr>
          <w:rFonts w:hint="eastAsia" w:ascii="宋体" w:hAnsi="宋体" w:cs="宋体"/>
          <w:bCs/>
          <w:color w:val="auto"/>
          <w:szCs w:val="21"/>
          <w:highlight w:val="none"/>
          <w:lang w:val="zh-CN"/>
        </w:rPr>
        <w:t xml:space="preserve">）。</w:t>
      </w:r>
      <w:r/>
    </w:p>
    <w:p>
      <w:pPr>
        <w:ind w:firstLine="420"/>
        <w:spacing w:line="360" w:lineRule="auto"/>
        <w:widowControl/>
        <w:rPr>
          <w:rFonts w:ascii="宋体" w:hAnsi="宋体" w:cs="宋体"/>
          <w:bCs/>
          <w:color w:val="auto"/>
          <w:szCs w:val="21"/>
          <w:highlight w:val="none"/>
        </w:rPr>
      </w:pPr>
      <w:r>
        <w:rPr>
          <w:rFonts w:hint="eastAsia" w:ascii="宋体" w:hAnsi="宋体" w:cs="宋体"/>
          <w:bCs/>
          <w:color w:val="auto"/>
          <w:szCs w:val="21"/>
          <w:highlight w:val="none"/>
        </w:rPr>
        <w:t xml:space="preserve">已提交响应文件的供应商，在提交最后报价之前，可以根据磋商情况退出磋商，并在“苏采云”系统中提交“退出磋商函”并加盖CA电子公章。</w:t>
      </w:r>
      <w:r/>
    </w:p>
    <w:p>
      <w:pPr>
        <w:ind w:firstLine="420"/>
        <w:spacing w:line="360" w:lineRule="auto"/>
        <w:widowControl/>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进入项目评审流程后，建议各供应商法定代表人或授权委托人始终保持通讯顺畅，及时登录苏采云系统查阅、答复相关信息。</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11、经磋商确定最终采购需求和提交最后报价的供应商后，由磋商小组采用综合评分法对提交最后报价的供应商的响应文件和最后报价进行综合评分。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12、磋商小组根据磋商成交原则确定成交供应商，并将结果通知所有参加磋商的供应商。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13、如磋商过程中出现本磋商文件未尽事宜，由磋商小组根据政府采购有关法律、法规讨论决定。</w:t>
      </w:r>
      <w:r/>
    </w:p>
    <w:p>
      <w:pPr>
        <w:ind w:firstLine="422"/>
        <w:spacing w:line="360" w:lineRule="auto"/>
        <w:tabs>
          <w:tab w:val="left" w:pos="142" w:leader="none"/>
          <w:tab w:val="left" w:pos="600" w:leader="none"/>
        </w:tabs>
        <w:rPr>
          <w:rFonts w:ascii="宋体" w:hAnsi="宋体" w:cs="宋体"/>
          <w:b/>
          <w:color w:val="auto"/>
          <w:szCs w:val="21"/>
          <w:highlight w:val="none"/>
        </w:rPr>
        <w:outlineLvl w:val="1"/>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、质疑：</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1、质疑及答复遵守《政府采购质疑和投诉办法》（中华人民共和国财政部令第94号）规定。</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2、供应商认为磋商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①对可以质疑的磋商文件提出质疑的，为收到磋商文件之日或者磋商文件公告期限届满之日；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②对采购过程提出质疑的，为各采购程序环节结束之日；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③对中标或者成交结果提出质疑的，为中标或者成交结果公告期限届满之日。</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3、供应商应当在法定质疑期内一次性提出针对同一采购程序环节的质疑。供应商如在法定期限内对同一采购程序环节提出多次质疑的，代理将只对供应商第一次质疑作出答复。</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4、提出质疑的供应商应当是参与所质疑项目采购活动的供应商，未依照采购公告要求获取磋商文件的供应商，视为未参与该项政府采购活动，不具备对该政府采购项目提出质疑的法定权利。</w:t>
      </w:r>
      <w:r/>
    </w:p>
    <w:p>
      <w:pPr>
        <w:ind w:firstLine="422"/>
        <w:spacing w:line="360" w:lineRule="auto"/>
        <w:tabs>
          <w:tab w:val="left" w:pos="753"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对磋商文件内容质疑时，需提供在采购交易系统中下载本项目磋商文件的</w:t>
      </w:r>
      <w:bookmarkStart w:id="9" w:name="_Hlk159144357"/>
      <w:r>
        <w:rPr>
          <w:rFonts w:hint="eastAsia" w:ascii="宋体" w:hAnsi="宋体" w:cs="宋体"/>
          <w:b/>
          <w:bCs/>
          <w:color w:val="auto"/>
          <w:szCs w:val="21"/>
          <w:highlight w:val="none"/>
        </w:rPr>
        <w:t xml:space="preserve">《投标供应商确认函》</w:t>
      </w:r>
      <w:bookmarkEnd w:id="9"/>
      <w:r>
        <w:rPr>
          <w:rFonts w:hint="eastAsia" w:ascii="宋体" w:hAnsi="宋体" w:cs="宋体"/>
          <w:b/>
          <w:bCs/>
          <w:color w:val="auto"/>
          <w:szCs w:val="21"/>
          <w:highlight w:val="none"/>
        </w:rPr>
        <w:t xml:space="preserve">，未提供的视为未依照采购公告要求获取磋商文件的供应商，不具备对该政府采购项目提出质疑的法定权利。</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cs="宋体"/>
          <w:color w:val="auto"/>
          <w:szCs w:val="21"/>
          <w:highlight w:val="none"/>
        </w:rPr>
        <w:t xml:space="preserve">政府采购供应商质疑函范本</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供应商如组成联合体参加投标，则《质疑函范本》中要求签字、盖章、加盖公章之处，联合体各方均须按要求签字、盖章、加盖公章。</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rPr>
        <w:t xml:space="preserve">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ind w:firstLine="420"/>
        <w:spacing w:line="360" w:lineRule="auto"/>
        <w:tabs>
          <w:tab w:val="left" w:pos="753" w:leader="none"/>
        </w:tabs>
        <w:rPr>
          <w:rFonts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质疑递交地点：</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联系地址：</w:t>
      </w:r>
      <w:r>
        <w:rPr>
          <w:rFonts w:hint="eastAsia" w:ascii="宋体" w:hAnsi="宋体" w:cs="宋体"/>
          <w:color w:val="auto"/>
          <w:szCs w:val="21"/>
          <w:highlight w:val="none"/>
        </w:rPr>
        <w:t xml:space="preserve">苏州市姑苏区南园北路118号天和大厦6-206</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0512-65200361</w:t>
      </w:r>
      <w:r/>
    </w:p>
    <w:p>
      <w:pPr>
        <w:ind w:firstLine="420"/>
        <w:spacing w:line="360" w:lineRule="auto"/>
        <w:tabs>
          <w:tab w:val="left" w:pos="753"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联系人：王慧</w:t>
      </w:r>
      <w:r/>
    </w:p>
    <w:p>
      <w:pPr>
        <w:ind w:firstLine="422"/>
        <w:spacing w:line="360" w:lineRule="auto"/>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、项目的终止：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出现下列情形之一的，将终止竞争性磋商采购活动：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1、因情况变化，不再符合规定的竞争性磋商采购方式适用情形的；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3、在采购过程中符合要求的供应商或者报价未超过采购预算的供应商不足3家的；</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4、在采购活动中因重大变故，采购任务取消的。</w:t>
      </w:r>
      <w:r/>
    </w:p>
    <w:p>
      <w:pPr>
        <w:ind w:firstLine="422"/>
        <w:spacing w:line="360" w:lineRule="auto"/>
        <w:rPr>
          <w:rFonts w:ascii="宋体" w:hAnsi="宋体" w:cs="宋体"/>
          <w:b/>
          <w:color w:val="auto"/>
          <w:szCs w:val="21"/>
          <w:highlight w:val="none"/>
        </w:rPr>
        <w:outlineLvl w:val="1"/>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、信用记录：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根据政府采购法及相关法规，以及</w:t>
      </w:r>
      <w:bookmarkStart w:id="10" w:name="OLE_LINK2"/>
      <w:r>
        <w:rPr>
          <w:rFonts w:hint="eastAsia" w:ascii="宋体" w:hAnsi="宋体" w:cs="宋体"/>
          <w:b/>
          <w:color w:val="auto"/>
          <w:szCs w:val="21"/>
          <w:highlight w:val="none"/>
        </w:rPr>
        <w:t xml:space="preserve">苏州市财政局《关于印发苏州市市级政府采购信用记录查询和使用工作试行办法的通知》（苏财购（2017）11号）文件</w:t>
      </w:r>
      <w:r>
        <w:rPr>
          <w:rFonts w:hint="eastAsia" w:ascii="宋体" w:hAnsi="宋体" w:cs="宋体"/>
          <w:color w:val="auto"/>
          <w:szCs w:val="21"/>
          <w:highlight w:val="none"/>
        </w:rPr>
        <w:t xml:space="preserve">的规定，我们将依法对</w:t>
      </w:r>
      <w:bookmarkEnd w:id="10"/>
      <w:r>
        <w:rPr>
          <w:rFonts w:hint="eastAsia" w:ascii="宋体" w:hAnsi="宋体" w:cs="宋体"/>
          <w:color w:val="auto"/>
          <w:szCs w:val="21"/>
          <w:highlight w:val="none"/>
        </w:rPr>
        <w:t xml:space="preserve">供应商进行信用查询，凡经确认不符合政府采购相关法律法规规定的，将拒绝其参与政府采购活动。</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1、查询截止时点：响应文件递交截止时间。</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2、查询渠道：</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采购代理机构会在接收响应文件截止时间后，登录信用中国网站（www.creditchina.gov.cn/）和中国政府采购网（www.ccgp.gov.cn/）查询供应商的信用记录，并将查询结果递交评标委员会。</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3、查询证据留存方式：</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对存在失信信息的供应商，由失信供应商进行确认。同时，采购代理机构工作人员应根据评标委员会确认的失信信息，登陆到相关来源网站页面进行复核并打印，作为证据留存。</w:t>
      </w:r>
      <w:r/>
    </w:p>
    <w:p>
      <w:pPr>
        <w:ind w:firstLine="420"/>
        <w:spacing w:line="360" w:lineRule="auto"/>
        <w:tabs>
          <w:tab w:val="left" w:pos="753" w:leader="none"/>
        </w:tabs>
        <w:rPr>
          <w:rFonts w:ascii="宋体" w:hAnsi="宋体" w:cs="宋体"/>
          <w:bCs/>
          <w:color w:val="auto"/>
          <w:szCs w:val="21"/>
          <w:highlight w:val="none"/>
        </w:rPr>
      </w:pPr>
      <w:r>
        <w:rPr>
          <w:rFonts w:hint="eastAsia" w:ascii="宋体" w:hAnsi="宋体" w:cs="宋体"/>
          <w:bCs/>
          <w:color w:val="auto"/>
          <w:szCs w:val="21"/>
          <w:highlight w:val="none"/>
        </w:rPr>
        <w:t xml:space="preserve">4、信用记录使用规则：</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在对供应商进行资格性审查时，应根据查询结果对供应商的不良信用记录逐项甄别确认。</w:t>
      </w:r>
      <w:r/>
    </w:p>
    <w:p>
      <w:pPr>
        <w:pStyle w:val="694"/>
        <w:ind w:left="0" w:firstLine="422"/>
        <w:spacing w:after="0"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十四</w:t>
      </w:r>
      <w:r>
        <w:rPr>
          <w:rFonts w:hint="eastAsia" w:ascii="宋体" w:hAnsi="宋体" w:eastAsia="宋体" w:cs="宋体"/>
          <w:b/>
          <w:color w:val="auto"/>
          <w:sz w:val="21"/>
          <w:szCs w:val="21"/>
          <w:highlight w:val="none"/>
        </w:rPr>
        <w:t xml:space="preserve">、履约保证金：</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1、中标（成交）的供应商应按前附表的规定提交履约保证金。</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在中标（成交）通知书发出的七天内，中标（成交）单位（联合体形式中标的，须为联合体的牵头人）应当以支票、汇票、本票或者金融机构、担保机构出具的保函（如选择保函，履约保函的金额、担保方式等实质性内容需满足招标文件附件《履约保函》的要求，否则采购人不予认可，由此带来的后果均由中标单位承担）等非现金形式提交履约保证金。</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中标（成交）单位无故拖延或拒不提交履约保证金的，视为拒绝与采购人签订合同，采购人可以按照评审报告推荐的中标（成交）候选人名单排序，确定下一候选人为中标（成交）单位或者重新开展政府采购活动。</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履约保证金（无息）在服务期满且服务缺陷更正后，中标（成交）方配合采购人和新中标（成交）单位办理移交手续，由采购人签发《政府采购履约验收书》后退还。如中标（成交）方对服务缺陷不予更正，采购人有权另请其他单位更正，所发生的费用在履约保证金中扣除。</w:t>
      </w:r>
      <w:r/>
    </w:p>
    <w:p>
      <w:pPr>
        <w:pStyle w:val="694"/>
        <w:ind w:left="0"/>
        <w:spacing w:after="0" w:line="360" w:lineRule="auto"/>
        <w:rPr>
          <w:rFonts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十五</w:t>
      </w:r>
      <w:r>
        <w:rPr>
          <w:rFonts w:hint="eastAsia" w:ascii="宋体" w:hAnsi="宋体" w:eastAsia="宋体" w:cs="宋体"/>
          <w:b/>
          <w:bCs w:val="0"/>
          <w:color w:val="auto"/>
          <w:sz w:val="21"/>
          <w:szCs w:val="21"/>
          <w:highlight w:val="none"/>
        </w:rPr>
        <w:t xml:space="preserve">、其它要求：</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1、成交通知书</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（1）确定出成交单位后在投标有效期截止前，采购代理机构将以</w:t>
      </w:r>
      <w:r>
        <w:rPr>
          <w:rFonts w:hint="eastAsia" w:ascii="宋体" w:hAnsi="宋体" w:eastAsia="宋体" w:cs="宋体"/>
          <w:bCs/>
          <w:color w:val="auto"/>
          <w:sz w:val="21"/>
          <w:szCs w:val="21"/>
          <w:highlight w:val="none"/>
          <w:lang w:val="en-US" w:eastAsia="zh-CN"/>
        </w:rPr>
        <w:t xml:space="preserve">电子</w:t>
      </w:r>
      <w:r>
        <w:rPr>
          <w:rFonts w:hint="eastAsia" w:ascii="宋体" w:hAnsi="宋体" w:eastAsia="宋体" w:cs="宋体"/>
          <w:bCs/>
          <w:color w:val="auto"/>
          <w:sz w:val="21"/>
          <w:szCs w:val="21"/>
          <w:highlight w:val="none"/>
        </w:rPr>
        <w:t xml:space="preserve">形式通知成交的供应商其响应被接受。</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（2）成交通知书将成为合同的组成部分。</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（3）采购人或采购代理机构对未成交单位不承担解释未成交原因的义务。</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（4）请成交单位在成交结果公告届满之日起30日内,使用CA证书登录“苏采云”系统及时下载成交通知书。因系统存储空间有限，自成交结果公告届满之日起30日后，“苏采云”系统不再保证提供下载</w:t>
      </w:r>
      <w:r>
        <w:rPr>
          <w:rFonts w:hint="eastAsia" w:ascii="宋体" w:hAnsi="宋体" w:eastAsia="宋体" w:cs="宋体"/>
          <w:bCs/>
          <w:color w:val="auto"/>
          <w:sz w:val="21"/>
          <w:szCs w:val="21"/>
          <w:highlight w:val="none"/>
          <w:lang w:eastAsia="zh-CN"/>
        </w:rPr>
        <w:t xml:space="preserve">成交</w:t>
      </w:r>
      <w:r>
        <w:rPr>
          <w:rFonts w:hint="eastAsia" w:ascii="宋体" w:hAnsi="宋体" w:eastAsia="宋体" w:cs="宋体"/>
          <w:bCs/>
          <w:color w:val="auto"/>
          <w:sz w:val="21"/>
          <w:szCs w:val="21"/>
          <w:highlight w:val="none"/>
        </w:rPr>
        <w:t xml:space="preserve">通知书服务,因未及时下载而造成的不利后果由中标人自行承担。</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2、代理服务费</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（1）成交单位须按前附表的规定计算并支付代理服务费，该费用应在领取成交通知书时付清。</w:t>
      </w:r>
      <w:r/>
    </w:p>
    <w:p>
      <w:pPr>
        <w:pStyle w:val="694"/>
        <w:ind w:left="0"/>
        <w:spacing w:after="0"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（2）成交单位如果未按规定缴纳代理服务费，磋商采购人将保留诉讼的权利。</w:t>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十六</w:t>
      </w:r>
      <w:r>
        <w:rPr>
          <w:rFonts w:hint="eastAsia" w:ascii="宋体" w:hAnsi="宋体" w:eastAsia="宋体" w:cs="宋体"/>
          <w:bCs/>
          <w:color w:val="auto"/>
          <w:sz w:val="21"/>
          <w:szCs w:val="21"/>
          <w:highlight w:val="none"/>
        </w:rPr>
        <w:t xml:space="preserve">、凡涉及磋商文件的补充说明和修改，均以苏州政府采购网上通知为准。</w:t>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pStyle w:val="694"/>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694"/>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694"/>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694"/>
        <w:ind w:left="0"/>
        <w:spacing w:after="0"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657"/>
        <w:numPr>
          <w:ilvl w:val="0"/>
          <w:numId w:val="0"/>
        </w:numPr>
        <w:jc w:val="center"/>
        <w:spacing w:line="360" w:lineRule="auto"/>
        <w:rPr>
          <w:rFonts w:ascii="宋体" w:hAnsi="宋体"/>
          <w:color w:val="auto"/>
          <w:sz w:val="32"/>
          <w:szCs w:val="32"/>
          <w:highlight w:val="none"/>
        </w:rPr>
      </w:pPr>
      <w:r>
        <w:rPr>
          <w:rFonts w:hint="eastAsia" w:ascii="宋体" w:hAnsi="宋体"/>
          <w:color w:val="auto"/>
          <w:sz w:val="32"/>
          <w:szCs w:val="32"/>
          <w:highlight w:val="none"/>
        </w:rPr>
        <w:t xml:space="preserve">第四章  合同主要条款</w:t>
      </w:r>
      <w:r/>
    </w:p>
    <w:p>
      <w:pPr>
        <w:ind w:firstLine="0"/>
        <w:jc w:val="center"/>
        <w:rPr>
          <w:rFonts w:ascii="宋体" w:hAnsi="宋体" w:cs="宋体"/>
          <w:b/>
          <w:color w:val="auto"/>
          <w:sz w:val="24"/>
          <w:szCs w:val="24"/>
          <w:highlight w:val="none"/>
        </w:rPr>
      </w:pPr>
      <w:r>
        <w:rPr>
          <w:rFonts w:hint="eastAsia" w:ascii="宋体" w:hAnsi="宋体" w:cs="宋体"/>
          <w:b/>
          <w:color w:val="auto"/>
          <w:sz w:val="24"/>
          <w:highlight w:val="none"/>
          <w:lang w:eastAsia="zh-CN"/>
        </w:rPr>
        <w:t xml:space="preserve">金鸡湖社区卫生服务中心医疗设备运维服务</w:t>
      </w:r>
      <w:r/>
    </w:p>
    <w:p>
      <w:pPr>
        <w:ind w:firstLine="0"/>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政府采购合同书</w:t>
      </w:r>
      <w:r/>
    </w:p>
    <w:p>
      <w:pPr>
        <w:ind w:firstLine="0"/>
        <w:jc w:val="cente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合同编号：</w:t>
      </w:r>
      <w:r/>
    </w:p>
    <w:p>
      <w:pPr>
        <w:ind w:firstLine="422"/>
        <w:rPr>
          <w:rFonts w:ascii="宋体" w:hAnsi="宋体" w:cs="宋体"/>
          <w:b/>
          <w:color w:val="auto"/>
          <w:szCs w:val="21"/>
          <w:highlight w:val="none"/>
        </w:rPr>
      </w:pPr>
      <w:r>
        <w:rPr>
          <w:rFonts w:ascii="宋体" w:hAnsi="宋体" w:cs="宋体"/>
          <w:b/>
          <w:color w:val="auto"/>
          <w:szCs w:val="21"/>
          <w:highlight w:val="none"/>
        </w:rPr>
      </w:r>
      <w:r/>
    </w:p>
    <w:p>
      <w:pPr>
        <w:ind w:firstLine="422"/>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甲方（采购人）：</w:t>
      </w:r>
      <w:r>
        <w:rPr>
          <w:rFonts w:hint="eastAsia" w:ascii="宋体" w:hAnsi="宋体" w:cs="宋体"/>
          <w:b/>
          <w:color w:val="auto"/>
          <w:szCs w:val="21"/>
          <w:highlight w:val="none"/>
          <w:lang w:eastAsia="zh-CN"/>
        </w:rPr>
        <w:t xml:space="preserve">苏州工业园区金鸡湖社区卫生服务中心</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联系人：</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联系电话：</w:t>
      </w:r>
      <w:r/>
    </w:p>
    <w:p>
      <w:pPr>
        <w:ind w:firstLine="422"/>
        <w:spacing w:before="100" w:beforeAutospacing="1"/>
        <w:rPr>
          <w:rFonts w:ascii="宋体" w:hAnsi="宋体" w:cs="宋体"/>
          <w:b/>
          <w:color w:val="auto"/>
          <w:szCs w:val="21"/>
          <w:highlight w:val="none"/>
        </w:rPr>
      </w:pPr>
      <w:r>
        <w:rPr>
          <w:rFonts w:hint="eastAsia" w:ascii="宋体" w:hAnsi="宋体" w:cs="宋体"/>
          <w:b/>
          <w:color w:val="auto"/>
          <w:szCs w:val="21"/>
          <w:highlight w:val="none"/>
        </w:rPr>
        <w:t xml:space="preserve">乙方（供应商）：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联系人：                     </w:t>
      </w:r>
      <w:r/>
    </w:p>
    <w:p>
      <w:pPr>
        <w:ind w:firstLine="420"/>
        <w:jc w:val="left"/>
        <w:keepLines w:val="0"/>
        <w:keepNext w:val="0"/>
        <w:widowControl/>
        <w:rPr>
          <w:rFonts w:ascii="宋体" w:hAnsi="宋体" w:cs="宋体"/>
          <w:color w:val="auto"/>
          <w:szCs w:val="21"/>
          <w:highlight w:val="none"/>
        </w:rPr>
        <w:suppressLineNumbers w:val="0"/>
      </w:pPr>
      <w:r>
        <w:rPr>
          <w:rFonts w:hint="eastAsia" w:ascii="宋体" w:hAnsi="宋体" w:eastAsia="宋体" w:cs="宋体"/>
          <w:color w:val="auto"/>
          <w:sz w:val="21"/>
          <w:szCs w:val="21"/>
          <w:highlight w:val="none"/>
          <w:lang w:val="en-US" w:eastAsia="zh-CN" w:bidi="ar"/>
        </w:rPr>
        <w:t xml:space="preserve">手机号码</w:t>
      </w:r>
      <w:r>
        <w:rPr>
          <w:rFonts w:hint="eastAsia" w:ascii="宋体" w:hAnsi="宋体" w:cs="宋体"/>
          <w:color w:val="auto"/>
          <w:szCs w:val="21"/>
          <w:highlight w:val="none"/>
        </w:rPr>
        <w:t xml:space="preserve">：                   </w:t>
      </w:r>
      <w:r/>
    </w:p>
    <w:p>
      <w:pPr>
        <w:rPr>
          <w:rFonts w:ascii="宋体" w:hAnsi="宋体" w:cs="宋体"/>
          <w:b/>
          <w:color w:val="auto"/>
          <w:szCs w:val="21"/>
          <w:highlight w:val="none"/>
        </w:rPr>
      </w:pPr>
      <w:r>
        <w:rPr>
          <w:rFonts w:ascii="宋体" w:hAnsi="宋体" w:cs="宋体"/>
          <w:b/>
          <w:color w:val="auto"/>
          <w:szCs w:val="21"/>
          <w:highlight w:val="none"/>
        </w:rPr>
      </w:r>
      <w:r/>
    </w:p>
    <w:p>
      <w:pPr>
        <w:pStyle w:val="865"/>
        <w:ind w:firstLine="420"/>
        <w:jc w:val="left"/>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sz w:val="21"/>
          <w:szCs w:val="21"/>
          <w:highlight w:val="none"/>
        </w:rPr>
        <w:t xml:space="preserve">依据甲方委托苏州捷信招投标咨询有限公司进行本项目政府采购</w:t>
      </w:r>
      <w:r>
        <w:rPr>
          <w:rFonts w:hint="eastAsia" w:ascii="宋体" w:hAnsi="宋体" w:cs="宋体"/>
          <w:color w:val="auto"/>
          <w:sz w:val="21"/>
          <w:szCs w:val="21"/>
          <w:highlight w:val="none"/>
          <w:lang w:val="en-US" w:eastAsia="zh-CN"/>
        </w:rPr>
        <w:t xml:space="preserve">XXX</w:t>
      </w:r>
      <w:r>
        <w:rPr>
          <w:rFonts w:hint="eastAsia" w:ascii="宋体" w:hAnsi="宋体" w:cs="宋体"/>
          <w:color w:val="auto"/>
          <w:sz w:val="21"/>
          <w:szCs w:val="21"/>
          <w:highlight w:val="none"/>
        </w:rPr>
        <w:t xml:space="preserve">号的采购结果，确定乙方为本次</w:t>
      </w:r>
      <w:r>
        <w:rPr>
          <w:rFonts w:hint="eastAsia" w:ascii="宋体" w:hAnsi="宋体" w:cs="宋体"/>
          <w:color w:val="auto"/>
          <w:sz w:val="21"/>
          <w:szCs w:val="21"/>
          <w:highlight w:val="none"/>
          <w:lang w:eastAsia="zh-CN"/>
        </w:rPr>
        <w:t xml:space="preserve">成交</w:t>
      </w:r>
      <w:r>
        <w:rPr>
          <w:rFonts w:hint="eastAsia" w:ascii="宋体" w:hAnsi="宋体" w:cs="宋体"/>
          <w:color w:val="auto"/>
          <w:sz w:val="21"/>
          <w:szCs w:val="21"/>
          <w:highlight w:val="none"/>
        </w:rPr>
        <w:t xml:space="preserve">供应商，现依照招标文件、乙方的投标文件及相关文件的内容，签订本合同书。</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一、合同的标的物</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1.甲方向乙方采购</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u w:val="single"/>
          <w:lang w:eastAsia="zh-CN"/>
        </w:rPr>
        <w:t xml:space="preserve">金鸡湖社区卫生服务中心医疗设备运维服务</w:t>
      </w:r>
      <w:r>
        <w:rPr>
          <w:rFonts w:hint="eastAsia" w:asciiTheme="minorEastAsia" w:hAnsiTheme="minorEastAsia" w:eastAsiaTheme="minorEastAsia" w:cstheme="minorEastAsia"/>
          <w:color w:val="auto"/>
          <w:sz w:val="21"/>
          <w:szCs w:val="21"/>
          <w:highlight w:val="none"/>
        </w:rPr>
        <w:t xml:space="preserve">。</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2.下列文件为本合同不可分割部分，其中的条款与要求为本合同执行的依据：</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① </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rPr>
        <w:t xml:space="preserve">通知书；</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② 乙方的投标文件；</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③ 乙方在招投标过程中所作的其它承诺、声明、书面澄清等；</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④ 招标文件及其附件；</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⑤ 合同附件。</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以上与本合同具有同等法律效力</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二、合同价格与支付</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1.合同价格按此次</w:t>
      </w:r>
      <w:r>
        <w:rPr>
          <w:rFonts w:hint="eastAsia" w:asciiTheme="minorEastAsia" w:hAnsiTheme="minorEastAsia" w:eastAsiaTheme="minorEastAsia" w:cstheme="minorEastAsia"/>
          <w:color w:val="auto"/>
          <w:sz w:val="21"/>
          <w:szCs w:val="21"/>
          <w:highlight w:val="none"/>
          <w:lang w:eastAsia="zh-CN"/>
        </w:rPr>
        <w:t xml:space="preserve">成交</w:t>
      </w:r>
      <w:r>
        <w:rPr>
          <w:rFonts w:hint="eastAsia" w:asciiTheme="minorEastAsia" w:hAnsiTheme="minorEastAsia" w:eastAsiaTheme="minorEastAsia" w:cstheme="minorEastAsia"/>
          <w:color w:val="auto"/>
          <w:sz w:val="21"/>
          <w:szCs w:val="21"/>
          <w:highlight w:val="none"/>
        </w:rPr>
        <w:t xml:space="preserve">金额执行，合同总金额为人民币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整，投标报价中的全部货物和服务的投标报价包括完成该项工作所需的整机保修包含人工及所有备件及易损件，设备提供人工叫修、定期保养、零备件更换、软件升级及管理服务，含所有更换的零备件费用、调试、售后服务、各种税费及政策性文件规定及合同包含的所有风险、责任等各项应有费用。</w:t>
      </w:r>
      <w:r/>
    </w:p>
    <w:p>
      <w:pPr>
        <w:ind w:left="0" w:firstLine="420"/>
        <w:jc w:val="both"/>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2.付款步骤：</w:t>
      </w:r>
      <w:r>
        <w:rPr>
          <w:rFonts w:hint="eastAsia" w:asciiTheme="minorEastAsia" w:hAnsiTheme="minorEastAsia" w:eastAsiaTheme="minorEastAsia" w:cstheme="minorEastAsia"/>
          <w:color w:val="auto"/>
          <w:sz w:val="21"/>
          <w:szCs w:val="21"/>
          <w:highlight w:val="none"/>
        </w:rPr>
        <w:t xml:space="preserve">在政府采购合同签订生效</w:t>
      </w:r>
      <w:r>
        <w:rPr>
          <w:rFonts w:hint="eastAsia" w:asciiTheme="minorEastAsia" w:hAnsiTheme="minorEastAsia" w:eastAsiaTheme="minorEastAsia" w:cstheme="minorEastAsia"/>
          <w:color w:val="auto"/>
          <w:sz w:val="21"/>
          <w:szCs w:val="21"/>
          <w:highlight w:val="none"/>
          <w:lang w:val="en-US" w:eastAsia="zh-CN"/>
        </w:rPr>
        <w:t xml:space="preserve">后</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甲乙方按照季度结算费用。乙方在</w:t>
      </w:r>
      <w:r>
        <w:rPr>
          <w:rFonts w:hint="eastAsia" w:ascii="宋体" w:hAnsi="宋体" w:eastAsia="宋体" w:cs="宋体"/>
          <w:color w:val="auto"/>
          <w:sz w:val="21"/>
          <w:szCs w:val="21"/>
          <w:highlight w:val="none"/>
          <w:lang w:val="en-US" w:eastAsia="zh-CN"/>
        </w:rPr>
        <w:t xml:space="preserve">每季度提供日常巡查及维修记录、季度运维计划服务报告和对应的季度服务发票，甲方在收到以上材料后支付对应的每季度服务款项。</w:t>
      </w:r>
      <w:r/>
    </w:p>
    <w:p>
      <w:pPr>
        <w:pStyle w:val="673"/>
        <w:ind w:left="0" w:firstLine="420"/>
        <w:spacing w:line="360" w:lineRule="auto"/>
        <w:rPr>
          <w:rFonts w:hint="default" w:eastAsiaTheme="minorEastAsia"/>
          <w:color w:val="auto"/>
          <w:highlight w:val="none"/>
          <w:lang w:val="en-US" w:eastAsia="zh-CN"/>
        </w:rPr>
      </w:pPr>
      <w:r>
        <w:rPr>
          <w:rFonts w:hint="eastAsia" w:ascii="宋体" w:hAnsi="宋体" w:eastAsia="宋体" w:cs="宋体"/>
          <w:color w:val="auto"/>
          <w:sz w:val="21"/>
          <w:szCs w:val="21"/>
          <w:highlight w:val="none"/>
          <w:lang w:val="en-US" w:eastAsia="zh-CN"/>
        </w:rPr>
        <w:t xml:space="preserve">每季度服务款项=成交金额/8个季度-对应的季度考核扣款。</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A、合格发票。</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B、《政府采购合同履行验收报告》。</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3.支付方式：银行转账等。</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三、标的物的一般条款</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1.完整物权</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乙方应能保证所提供相关服务及备品的知识产权和所提供技术资料是合法取得，并享有完整的知识产权，不会因为需方的使用而被责令停止使用、追偿或要求赔偿损失，如出现此情况，一切经济和法律责任均由供方承担。</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2.对服务提出异议的时间和办法</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2.1甲方在验收过程中，应当于双方约定的检验期间内将服务不符合约定的情形及处理方式以书面形式通知乙方。</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 乙方应在收到甲方书面异议后七天内负责处理问题，否则将视为默认甲方提出的异议和处理意见。</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3.伴随服务</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3.1乙方除应履行按期按量交付合格标的物的义务之外，还应提供下列服务。</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3.1.1标的物的现场安装、启动、调试、监督（如果必须安装、调试的话）。</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3.1.2提供标的物组装和一般维修所必须的工具。</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3.1.3在合同规定的期限内对所提供标的物实行运行监督、维修服务的前提条件是该服务并不能免除乙方在质量保证期内所承担的义务。</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3.1.4对甲方技术人员的技术指导或培训。</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3.2.除合同另有规定之外，伴随服务的费用均已含在合同价款中，甲方不再另行支付。</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四、服务期限、地点：</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1.服务期限：</w:t>
      </w:r>
      <w:r>
        <w:rPr>
          <w:rFonts w:hint="eastAsia" w:asciiTheme="minorEastAsia" w:hAnsiTheme="minorEastAsia" w:eastAsiaTheme="minorEastAsia" w:cstheme="minorEastAsia"/>
          <w:color w:val="auto"/>
          <w:sz w:val="21"/>
          <w:szCs w:val="21"/>
          <w:highlight w:val="none"/>
          <w:lang w:eastAsia="zh-CN"/>
        </w:rPr>
        <w:t xml:space="preserve">24个月</w:t>
      </w:r>
      <w:r>
        <w:rPr>
          <w:rFonts w:hint="eastAsia" w:asciiTheme="minorEastAsia" w:hAnsiTheme="minorEastAsia" w:eastAsiaTheme="minorEastAsia" w:cstheme="minorEastAsia"/>
          <w:color w:val="auto"/>
          <w:sz w:val="21"/>
          <w:szCs w:val="21"/>
          <w:highlight w:val="none"/>
        </w:rPr>
        <w:t xml:space="preserve">（实际进场日期以采购人书面通知为准）。</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2.服务地点：甲方指定地点。</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五、其他要求：</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在维保服务期内，若发生因乙方医疗设备维保不当从而导致的医疗事故，相关一切责任将由乙方承担，与甲方无关。</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六、售后服务：</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接到采购方报修后，供应商在一小时内响应，具体到场维修时间与科室沟通后确定，保证维修的及时性。</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七、违约责任</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合同一方不履行合同义务或者履行合同义务不符合约定的，应当承担继续履行、采取补救措施或者赔偿损失等违约责任。</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1.甲方违约责任</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甲方违反合同规定，拒绝接收乙方交付的合格标的物，应当承担乙方由此造成的损失。</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2.乙方违约责任</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在维保服务期内，甲方一旦发现乙方履行合同期间有弄虚作假、偷工减料、怠工误工、服务态度恶劣等行为，第一次甲方有权扣除合同年度金额的10％作为处罚并给予口头警告，第二次甲方有权扣除合同年度金额的15％作为处罚并给予严重警告，同时乙方须向甲方递交一份书面整改承诺，第三次甲方有权终止该单位服务资格，甲方不支付任何费用给乙方，并追究其违约责任。</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在维保服务期内，若发生因乙方医疗设备维保不当或备用设备未能及时到位从而影响甲方正常工作，导致医疗安全事故及医疗纠纷，相关一切责任将由乙方承担，与甲方无关。甲方有权解除合同，乙方向甲方偿付合同总价款5%的违约金。</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3.不可抗力</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 因不可抗力不能履行合同的，根据不可抗力的影响，部分或者全部免除责任。但合同一方迟延履行后发生不可抗力的，不能免除责任。</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3.2合同一方因不可抗力不能履行合同的，应当及时通知对方，以减轻可能给对方造成的损失，并应当在合理期限内提供证明。</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八、索赔</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1.甲方有权根据当地产品质量检验机构或其它有权部门出具的检验证书向乙方提出索赔。</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2.在本合同规定的检验期和质量保证期内，如果乙方对甲方提出的索赔或差异有责任，则乙方应按甲方同意的下列一种或多种方式解决索赔事宜：</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2.1乙方同意</w:t>
      </w:r>
      <w:r>
        <w:rPr>
          <w:rFonts w:hint="eastAsia" w:asciiTheme="minorEastAsia" w:hAnsiTheme="minorEastAsia" w:eastAsiaTheme="minorEastAsia" w:cstheme="minorEastAsia"/>
          <w:color w:val="auto"/>
          <w:sz w:val="21"/>
          <w:szCs w:val="21"/>
          <w:highlight w:val="none"/>
          <w:lang w:val="en-US" w:eastAsia="zh-CN"/>
        </w:rPr>
        <w:t xml:space="preserve">退出的</w:t>
      </w:r>
      <w:r>
        <w:rPr>
          <w:rFonts w:hint="eastAsia" w:asciiTheme="minorEastAsia" w:hAnsiTheme="minorEastAsia" w:eastAsiaTheme="minorEastAsia" w:cstheme="minorEastAsia"/>
          <w:color w:val="auto"/>
          <w:sz w:val="21"/>
          <w:szCs w:val="21"/>
          <w:highlight w:val="none"/>
        </w:rPr>
        <w:t xml:space="preserve">，并按合同规定的货币将</w:t>
      </w:r>
      <w:r>
        <w:rPr>
          <w:rFonts w:hint="eastAsia" w:asciiTheme="minorEastAsia" w:hAnsiTheme="minorEastAsia" w:eastAsiaTheme="minorEastAsia" w:cstheme="minorEastAsia"/>
          <w:color w:val="auto"/>
          <w:sz w:val="21"/>
          <w:szCs w:val="21"/>
          <w:highlight w:val="none"/>
          <w:lang w:val="en-US" w:eastAsia="zh-CN"/>
        </w:rPr>
        <w:t xml:space="preserve">款项</w:t>
      </w:r>
      <w:r>
        <w:rPr>
          <w:rFonts w:hint="eastAsia" w:asciiTheme="minorEastAsia" w:hAnsiTheme="minorEastAsia" w:eastAsiaTheme="minorEastAsia" w:cstheme="minorEastAsia"/>
          <w:color w:val="auto"/>
          <w:sz w:val="21"/>
          <w:szCs w:val="21"/>
          <w:highlight w:val="none"/>
        </w:rPr>
        <w:t xml:space="preserve">退还给甲方，并承担由此发生的一切损失和费用，包括利息、银行手续费、运费、保险费、检验费、仓储费、装卸费以及为保护退回标的物所需的其它必要费用。</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2.2根据标的物的低劣程度、损坏程度以及甲方遭受损失的数额，经双方协商确定降低标的物的价格。</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3.甲方提出索赔的书面材料应报</w:t>
      </w:r>
      <w:r>
        <w:rPr>
          <w:rFonts w:hint="eastAsia" w:asciiTheme="minorEastAsia" w:hAnsiTheme="minorEastAsia" w:eastAsiaTheme="minorEastAsia" w:cstheme="minorEastAsia"/>
          <w:color w:val="auto"/>
          <w:sz w:val="21"/>
          <w:szCs w:val="21"/>
          <w:highlight w:val="none"/>
          <w:lang w:val="en-US" w:eastAsia="zh-CN"/>
        </w:rPr>
        <w:t xml:space="preserve">相关</w:t>
      </w:r>
      <w:r>
        <w:rPr>
          <w:rFonts w:hint="eastAsia" w:asciiTheme="minorEastAsia" w:hAnsiTheme="minorEastAsia" w:eastAsiaTheme="minorEastAsia" w:cstheme="minorEastAsia"/>
          <w:color w:val="auto"/>
          <w:sz w:val="21"/>
          <w:szCs w:val="21"/>
          <w:highlight w:val="none"/>
        </w:rPr>
        <w:t xml:space="preserve">部门备案。乙方同意的索赔方案应报</w:t>
      </w:r>
      <w:r>
        <w:rPr>
          <w:rFonts w:hint="eastAsia" w:asciiTheme="minorEastAsia" w:hAnsiTheme="minorEastAsia" w:eastAsiaTheme="minorEastAsia" w:cstheme="minorEastAsia"/>
          <w:color w:val="auto"/>
          <w:sz w:val="21"/>
          <w:szCs w:val="21"/>
          <w:highlight w:val="none"/>
          <w:lang w:val="en-US" w:eastAsia="zh-CN"/>
        </w:rPr>
        <w:t xml:space="preserve">相关</w:t>
      </w:r>
      <w:r>
        <w:rPr>
          <w:rFonts w:hint="eastAsia" w:asciiTheme="minorEastAsia" w:hAnsiTheme="minorEastAsia" w:eastAsiaTheme="minorEastAsia" w:cstheme="minorEastAsia"/>
          <w:color w:val="auto"/>
          <w:sz w:val="21"/>
          <w:szCs w:val="21"/>
          <w:highlight w:val="none"/>
        </w:rPr>
        <w:t xml:space="preserve">部门审核。</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九、合同的解除和转让</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1.合同的解除</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1.1甲方和乙方协商一致，可以解除合同。</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1.2有下列情形之一，合同一方可以解除合同：</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1.2.1因不可抗力致使不能实现合同目的，未受不可抗力影响的一方有权解除合同。</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1.2.2因合同一方违约导致合同不能履行，另一方有权解除合同。</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1.2.3有权解除合同的一方，应当在违约事实或不可抗力发生之后三十天内书面通知对方以主张解除合同，合同在书面通知到达对方时解除。</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2.合同的转让</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2.1合同的部分和全部都不得转让。</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十、合同的生效</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合同经甲乙双方代表签字并加盖公章可生效。</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十一、争议解决</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甲乙双方因合同发生争议，应在招标人的主持下进行调解，协商不成，任何一方可以向甲方所在地人民法院起诉。</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十二、附则</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1.合同份数：本合同一式四份，甲乙双方各执一份，采购代理机构一份，政府监管部门一份。</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2.本合同文件使用中文书写、解释和说明。</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3.本合同履行过程中产生的纪要、协议以及成交通知书、采购响应文件和采购文件为本合同的附件，与合同具有同等效力。</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4.未尽事宜</w:t>
      </w:r>
      <w:r/>
    </w:p>
    <w:p>
      <w:pPr>
        <w:ind w:left="0" w:firstLine="420"/>
        <w:jc w:val="both"/>
        <w:keepLines w:val="0"/>
        <w:keepNext w:val="0"/>
        <w:pageBreakBefore w:val="0"/>
        <w:spacing w:after="0"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本合同未尽事宜应按《中华人民共和国政府采购法》、《中华人民共和国民法典》及其它有关政府采购的法律法规的规定执行。</w:t>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color w:val="auto"/>
          <w:highlight w:val="none"/>
        </w:rPr>
      </w:pPr>
      <w:r>
        <w:rPr>
          <w:rFonts w:hint="eastAsia"/>
          <w:color w:val="auto"/>
          <w:highlight w:val="none"/>
        </w:rPr>
      </w:r>
      <w:r/>
    </w:p>
    <w:p>
      <w:pPr>
        <w:pStyle w:val="70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color w:val="auto"/>
          <w:highlight w:val="none"/>
        </w:rPr>
      </w:pPr>
      <w:r>
        <w:rPr>
          <w:rFonts w:hint="eastAsia"/>
          <w:color w:val="auto"/>
          <w:highlight w:val="none"/>
        </w:rPr>
      </w:r>
      <w:r/>
    </w:p>
    <w:p>
      <w:pPr>
        <w:pStyle w:val="694"/>
        <w:numPr>
          <w:ilvl w:val="0"/>
          <w:numId w:val="0"/>
        </w:numPr>
        <w:ind w:left="0" w:firstLine="0"/>
        <w:jc w:val="center"/>
        <w:spacing w:after="0" w:line="360" w:lineRule="auto"/>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第五章</w:t>
      </w:r>
      <w:r>
        <w:rPr>
          <w:rFonts w:hint="eastAsia" w:ascii="宋体" w:hAnsi="宋体" w:eastAsia="宋体"/>
          <w:b/>
          <w:bCs/>
          <w:color w:val="auto"/>
          <w:sz w:val="32"/>
          <w:szCs w:val="32"/>
          <w:highlight w:val="none"/>
          <w:lang w:val="en-US" w:eastAsia="zh-CN"/>
        </w:rPr>
        <w:t xml:space="preserve"> </w:t>
      </w:r>
      <w:r>
        <w:rPr>
          <w:rFonts w:hint="eastAsia" w:ascii="宋体" w:hAnsi="宋体" w:eastAsia="宋体"/>
          <w:b/>
          <w:bCs/>
          <w:color w:val="auto"/>
          <w:sz w:val="32"/>
          <w:szCs w:val="32"/>
          <w:highlight w:val="none"/>
        </w:rPr>
        <w:t xml:space="preserve">评审办法</w:t>
      </w:r>
      <w:r/>
    </w:p>
    <w:p>
      <w:pPr>
        <w:ind w:firstLine="420"/>
        <w:keepLines w:val="0"/>
        <w:keepNext w:val="0"/>
        <w:pageBreakBefore w:val="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一、竞争性磋商成交原则：</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本项目采用综合评分法。评审结果按评审后得分由高到低顺序排列，推荐3名成交候选人。得分相同的，按响应报价由低到高顺序排列。响应文件满足采购文件全部实质性要求，且按照评审因素的量化指标评审得分最高的响应人为排名第一的成交候选人。</w:t>
      </w:r>
      <w:r>
        <w:rPr>
          <w:rFonts w:hint="eastAsia" w:ascii="宋体" w:hAnsi="宋体" w:cs="宋体"/>
          <w:color w:val="auto"/>
          <w:szCs w:val="21"/>
          <w:highlight w:val="none"/>
        </w:rPr>
        <w:t xml:space="preserve">得分且响应报价相同的，提供优先采购产品证书更多的响应人优先成交（如属优先采购产品），否则</w:t>
      </w:r>
      <w:r>
        <w:rPr>
          <w:rFonts w:hint="eastAsia" w:ascii="宋体" w:hAnsi="宋体" w:cs="宋体"/>
          <w:color w:val="auto"/>
          <w:szCs w:val="21"/>
          <w:highlight w:val="none"/>
        </w:rPr>
        <w:t xml:space="preserve">由磋商小组组织以抽签方式确定优先选取顺序。</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2、磋商小组各成员审查每份响应文件是否实质响应了采购文件的要求，未实质性响应的响应文件将被拒绝，也不进行评审。</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3、磋商小组各成员独立对每个进入打分程序的响应文件以打分的形式进行评审和评价。对评委的评分进行统计汇总时算术平均计算得分（计算结果均四舍五入保留两位小数）。</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keepLines w:val="0"/>
        <w:keepNext w:val="0"/>
        <w:pageBreakBefore w:val="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5、针对中小型企业、残疾人福利企业和监狱企业的评审：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w:t>
      </w:r>
      <w:r>
        <w:rPr>
          <w:rFonts w:hint="eastAsia" w:ascii="宋体" w:hAnsi="宋体" w:eastAsia="宋体" w:cs="宋体"/>
          <w:color w:val="auto"/>
          <w:sz w:val="21"/>
          <w:szCs w:val="21"/>
          <w:highlight w:val="none"/>
        </w:rPr>
        <w:t xml:space="preserve">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金额则以实际响应报价为准。残疾人福利性单位属于小型、微型企业的，不重复享受政策。服务类项目中供应商若使用退休人员，将不享受中小企业扶持政策。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二、评分标准：</w:t>
      </w:r>
      <w:r/>
    </w:p>
    <w:p>
      <w:pPr>
        <w:ind w:firstLine="420"/>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（一）价格基准分：</w:t>
      </w:r>
      <w:r>
        <w:rPr>
          <w:rFonts w:hint="eastAsia" w:ascii="宋体" w:hAnsi="宋体" w:cs="宋体"/>
          <w:b/>
          <w:color w:val="auto"/>
          <w:szCs w:val="21"/>
          <w:highlight w:val="none"/>
          <w:lang w:val="en-US" w:eastAsia="zh-CN"/>
        </w:rPr>
        <w:t xml:space="preserve">20</w:t>
      </w:r>
      <w:r>
        <w:rPr>
          <w:rFonts w:hint="eastAsia" w:ascii="宋体" w:hAnsi="宋体" w:cs="宋体"/>
          <w:b/>
          <w:color w:val="auto"/>
          <w:szCs w:val="21"/>
          <w:highlight w:val="none"/>
        </w:rPr>
        <w:t xml:space="preserve">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第一步：磋商报价低于或等于财政预算价格，为有效响应报价。超财政预算的响应报价文件为未实质性响应文件，不参与评审。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第二步：在所有有效磋商报价中满足采购文件要求，且磋商价格最低的磋商报价为评审基准价，其价格分为</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分，其他磋商供应商的价格分按照下列公式计算（计算结果四舍五入保留两位小数）。</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磋商报价得分=（评标基准价/有效响应报价）×</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%×100</w:t>
      </w:r>
      <w:r/>
    </w:p>
    <w:p>
      <w:pPr>
        <w:pStyle w:val="672"/>
        <w:ind w:firstLine="412"/>
        <w:keepLines w:val="0"/>
        <w:keepNext w:val="0"/>
        <w:pageBreakBefore w:val="0"/>
        <w:widowControl/>
        <w:rPr>
          <w:rFonts w:hint="eastAsia" w:ascii="宋体" w:hAnsi="宋体" w:cs="宋体"/>
          <w:b/>
          <w:bCs/>
          <w:color w:val="auto"/>
          <w:sz w:val="21"/>
          <w:szCs w:val="21"/>
          <w:highlight w:val="none"/>
          <w:lang w:bidi="ar"/>
        </w:rPr>
      </w:pPr>
      <w:r>
        <w:rPr>
          <w:rFonts w:hint="eastAsia" w:ascii="宋体" w:hAnsi="宋体" w:cs="宋体"/>
          <w:b/>
          <w:bCs/>
          <w:color w:val="auto"/>
          <w:spacing w:val="-2"/>
          <w:sz w:val="21"/>
          <w:szCs w:val="21"/>
          <w:highlight w:val="none"/>
        </w:rPr>
        <w:t xml:space="preserve">注：</w:t>
      </w:r>
      <w:r>
        <w:rPr>
          <w:rFonts w:hint="eastAsia" w:ascii="宋体" w:hAnsi="宋体" w:cs="宋体"/>
          <w:b/>
          <w:bCs/>
          <w:color w:val="auto"/>
          <w:sz w:val="21"/>
          <w:szCs w:val="21"/>
          <w:highlight w:val="none"/>
          <w:lang w:bidi="ar"/>
        </w:rPr>
        <w:t xml:space="preserve">根据</w:t>
      </w:r>
      <w:r>
        <w:rPr>
          <w:rFonts w:hint="eastAsia" w:ascii="宋体" w:hAnsi="宋体" w:cs="宋体"/>
          <w:b/>
          <w:bCs/>
          <w:color w:val="auto"/>
          <w:spacing w:val="-2"/>
          <w:sz w:val="21"/>
          <w:szCs w:val="21"/>
          <w:highlight w:val="none"/>
        </w:rPr>
        <w:t xml:space="preserve">关于推动解决政府采购异常低价问题的通知，</w:t>
      </w:r>
      <w:r>
        <w:rPr>
          <w:rFonts w:hint="eastAsia" w:ascii="宋体" w:hAnsi="宋体" w:cs="宋体"/>
          <w:b/>
          <w:bCs/>
          <w:color w:val="auto"/>
          <w:sz w:val="21"/>
          <w:szCs w:val="21"/>
          <w:highlight w:val="none"/>
          <w:lang w:bidi="ar"/>
        </w:rPr>
        <w:t xml:space="preserve">政府采购评审中出现下列情形之一的，评审委员会应当启动异常低价投标（响应）审查程序：</w:t>
      </w:r>
      <w:r/>
    </w:p>
    <w:p>
      <w:pPr>
        <w:pStyle w:val="700"/>
        <w:ind w:firstLine="420"/>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1.投标（响应）报价低于全部通过符合性审查供应商投标（响应）报价平均值50%的，即投标（响应）报价&lt;全部通过符合性审查供应商投标（响应）报价平均值×50%；</w:t>
      </w:r>
      <w:r/>
    </w:p>
    <w:p>
      <w:pPr>
        <w:pStyle w:val="700"/>
        <w:ind w:firstLine="420"/>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2.投标（响应）报价低于通过符合性审查的次低报价供应商投标（响应）报价50%的，即投标（响应）报价&lt;通过符合性审查的次低报价供应商投标（响应）报价×50%；</w:t>
      </w:r>
      <w:r/>
    </w:p>
    <w:p>
      <w:pPr>
        <w:pStyle w:val="700"/>
        <w:ind w:firstLine="420"/>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3.投标（响应）报价低于采购项目最高限价45%的，即投标（响应）报价&lt;采购项目最高限价×45%；</w:t>
      </w:r>
      <w:r/>
    </w:p>
    <w:p>
      <w:pPr>
        <w:pStyle w:val="700"/>
        <w:ind w:firstLine="420"/>
        <w:keepLines w:val="0"/>
        <w:keepNext w:val="0"/>
        <w:pageBreakBefore w:val="0"/>
        <w:spacing w:line="360" w:lineRule="auto"/>
        <w:widowControl/>
        <w:rPr>
          <w:rFonts w:hint="eastAsia" w:ascii="宋体" w:hAnsi="宋体" w:cs="宋体"/>
          <w:b/>
          <w:bCs/>
          <w:color w:val="auto"/>
          <w:sz w:val="21"/>
          <w:szCs w:val="21"/>
          <w:highlight w:val="none"/>
          <w:lang w:bidi="ar"/>
        </w:rPr>
      </w:pPr>
      <w:r>
        <w:rPr>
          <w:rFonts w:hint="eastAsia" w:ascii="宋体" w:hAnsi="宋体" w:cs="宋体"/>
          <w:b/>
          <w:bCs/>
          <w:color w:val="auto"/>
          <w:sz w:val="21"/>
          <w:szCs w:val="21"/>
          <w:highlight w:val="none"/>
          <w:lang w:bidi="ar"/>
        </w:rPr>
        <w:t xml:space="preserve">4.评审委员会基于专业判断，认为供应商报价过低，有可能影响产品质量或者不能诚信履约的其他情形。</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（二）对设备巡检维护及管理方案能力比较（4</w:t>
      </w:r>
      <w:r>
        <w:rPr>
          <w:rFonts w:hint="eastAsia" w:asciiTheme="minorEastAsia" w:hAnsiTheme="minorEastAsia" w:eastAsiaTheme="minorEastAsia" w:cstheme="minorEastAsia"/>
          <w:b/>
          <w:bCs/>
          <w:color w:val="auto"/>
          <w:sz w:val="21"/>
          <w:szCs w:val="21"/>
          <w:highlight w:val="none"/>
          <w:lang w:val="en-US" w:eastAsia="zh-CN"/>
        </w:rPr>
        <w:t xml:space="preserve">6</w:t>
      </w:r>
      <w:r>
        <w:rPr>
          <w:rFonts w:hint="eastAsia" w:asciiTheme="minorEastAsia" w:hAnsiTheme="minorEastAsia" w:eastAsiaTheme="minorEastAsia" w:cstheme="minorEastAsia"/>
          <w:b/>
          <w:bCs/>
          <w:color w:val="auto"/>
          <w:sz w:val="21"/>
          <w:szCs w:val="21"/>
          <w:highlight w:val="none"/>
        </w:rPr>
        <w:t xml:space="preserve">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1、日常维修保养方案（12分）：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至少包含维修保养计划，维修实施步骤，设备检测，配件维修更换等方案：方案精细、详尽，科学可行，操作性强得12分；方案较为完整，操作性较强得9分；方案不够完整，操作性较差得6分；无具体描述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2、服务管理制度（</w:t>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至少包含人员管理制度，设备维保规程规范制度，维修零配件、易耗品配备存储及使用制度等：制度规范详尽精细，与项目切合度高，可行性强得1</w:t>
      </w:r>
      <w:r>
        <w:rPr>
          <w:rFonts w:hint="eastAsia" w:asciiTheme="minorEastAsia" w:hAnsiTheme="minorEastAsia" w:eastAsiaTheme="minorEastAsia" w:cstheme="minorEastAsia"/>
          <w:color w:val="auto"/>
          <w:sz w:val="21"/>
          <w:szCs w:val="21"/>
          <w:highlight w:val="none"/>
          <w:lang w:val="en-US" w:eastAsia="zh-CN"/>
        </w:rPr>
        <w:t xml:space="preserve">0</w:t>
      </w:r>
      <w:r>
        <w:rPr>
          <w:rFonts w:hint="eastAsia" w:asciiTheme="minorEastAsia" w:hAnsiTheme="minorEastAsia" w:eastAsiaTheme="minorEastAsia" w:cstheme="minorEastAsia"/>
          <w:color w:val="auto"/>
          <w:sz w:val="21"/>
          <w:szCs w:val="21"/>
          <w:highlight w:val="none"/>
        </w:rPr>
        <w:t xml:space="preserve">分；制度规范较为完整，可行性较强得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分；制度规范不够完整，可行性较差得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分；无具体描述不得分。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3、针对本项目制定的突发事件的应急措施比较（要与</w:t>
      </w:r>
      <w:r>
        <w:rPr>
          <w:rFonts w:hint="eastAsia" w:asciiTheme="minorEastAsia" w:hAnsiTheme="minorEastAsia" w:eastAsiaTheme="minorEastAsia" w:cstheme="minorEastAsia"/>
          <w:color w:val="auto"/>
          <w:sz w:val="21"/>
          <w:szCs w:val="21"/>
          <w:highlight w:val="none"/>
          <w:lang w:eastAsia="zh-CN"/>
        </w:rPr>
        <w:t xml:space="preserve">采购人</w:t>
      </w:r>
      <w:r>
        <w:rPr>
          <w:rFonts w:hint="eastAsia" w:asciiTheme="minorEastAsia" w:hAnsiTheme="minorEastAsia" w:eastAsiaTheme="minorEastAsia" w:cstheme="minorEastAsia"/>
          <w:color w:val="auto"/>
          <w:sz w:val="21"/>
          <w:szCs w:val="21"/>
          <w:highlight w:val="none"/>
        </w:rPr>
        <w:t xml:space="preserve">的实际情况结合）（10分）：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至少包含应急突发事件的应急预案，应急保障措施，可能发生的应急事件处理方式分析：方案详尽、精细，措施得当，可行性强得10分；方案较为完整，可行性较强得6分；方案不够完整，可行性较差得4分；无具体描述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4、安全管理方案比较（8分）：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针对本项目提供的安全管理方案、安全检查、安全教育、安全训练等方案进行综合比较打分：方案详尽、精细，措施得当，可行性强得8分；方案较为完整，可行性较强得5分；方案不够完整，可行性较差得3分；无具体描述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5、对采购方人员的培训方案比较（6分）：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包括培训内容、时间、地点、人次、安装维护、调试、配置及使用技能、业务人员培训、应用操作及使用等。培训方案详细具体，可行性高的得6分；培训方案较为详细具体，可行性较高的得4分；培训方案不够详细具体，可行性较低的得2分；无具体内容的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（三）服务能力、服务团队比较（</w:t>
      </w:r>
      <w:r>
        <w:rPr>
          <w:rFonts w:hint="eastAsia" w:asciiTheme="minorEastAsia" w:hAnsiTheme="minorEastAsia" w:eastAsiaTheme="minorEastAsia" w:cstheme="minorEastAsia"/>
          <w:b/>
          <w:bCs/>
          <w:color w:val="auto"/>
          <w:sz w:val="21"/>
          <w:szCs w:val="21"/>
          <w:highlight w:val="none"/>
          <w:lang w:val="en-US" w:eastAsia="zh-CN"/>
        </w:rPr>
        <w:t xml:space="preserve">26</w:t>
      </w:r>
      <w:r>
        <w:rPr>
          <w:rFonts w:hint="eastAsia" w:asciiTheme="minorEastAsia" w:hAnsiTheme="minorEastAsia" w:eastAsiaTheme="minorEastAsia" w:cstheme="minorEastAsia"/>
          <w:b/>
          <w:bCs/>
          <w:color w:val="auto"/>
          <w:sz w:val="21"/>
          <w:szCs w:val="21"/>
          <w:highlight w:val="none"/>
        </w:rPr>
        <w:t xml:space="preserve">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1、常用零配件、易耗品配备情况（</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分）：常用零配件、易耗品配备齐全、充足，能确保满足重点科室（放射、超声、急救设备、手术室等）维保需要的得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分；常用零配件、易耗品配备较齐全、基本满足临床科室维保需要的得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分；常用零配件、易耗品配备不足、不能满足临床科室维保需要的得</w:t>
      </w: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分。（提供常用零配件和易耗品的清单，未提供清单的不得分）</w:t>
      </w:r>
      <w:r/>
    </w:p>
    <w:p>
      <w:pPr>
        <w:pStyle w:val="700"/>
        <w:ind w:firstLine="420"/>
        <w:keepLines w:val="0"/>
        <w:keepNext w:val="0"/>
        <w:pageBreakBefore w:val="0"/>
        <w:spacing w:line="360" w:lineRule="auto"/>
        <w:widowControl/>
        <w:rPr>
          <w:rFonts w:hint="eastAsia"/>
          <w:color w:val="auto"/>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提供的医疗设备管理软件功能能够完全满足采购需求的得</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分，有一项不满足扣</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分</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扣完为止。</w:t>
      </w:r>
      <w:r>
        <w:rPr>
          <w:rFonts w:hint="eastAsia" w:asciiTheme="minorEastAsia" w:hAnsiTheme="minorEastAsia" w:eastAsiaTheme="minorEastAsia" w:cstheme="minorEastAsia"/>
          <w:color w:val="auto"/>
          <w:sz w:val="21"/>
          <w:szCs w:val="21"/>
          <w:highlight w:val="none"/>
        </w:rPr>
        <w:t xml:space="preserve">(提供软件著作权证书或功能截图等证明材料并盖</w:t>
      </w:r>
      <w:r>
        <w:rPr>
          <w:rFonts w:hint="eastAsia" w:asciiTheme="minorEastAsia" w:hAnsiTheme="minorEastAsia" w:eastAsiaTheme="minorEastAsia" w:cstheme="minorEastAsia"/>
          <w:color w:val="auto"/>
          <w:sz w:val="21"/>
          <w:szCs w:val="21"/>
          <w:highlight w:val="none"/>
          <w:lang w:eastAsia="zh-CN"/>
        </w:rPr>
        <w:t xml:space="preserve">供应商</w:t>
      </w:r>
      <w:r>
        <w:rPr>
          <w:rFonts w:hint="eastAsia" w:asciiTheme="minorEastAsia" w:hAnsiTheme="minorEastAsia" w:eastAsiaTheme="minorEastAsia" w:cstheme="minorEastAsia"/>
          <w:color w:val="auto"/>
          <w:sz w:val="21"/>
          <w:szCs w:val="21"/>
          <w:highlight w:val="none"/>
        </w:rPr>
        <w:t xml:space="preserve">公章，未提供不得分)。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w:t>
      </w:r>
      <w:r>
        <w:rPr>
          <w:rFonts w:hint="eastAsia" w:asciiTheme="minorEastAsia" w:hAnsiTheme="minorEastAsia" w:eastAsiaTheme="minorEastAsia" w:cstheme="minorEastAsia"/>
          <w:color w:val="auto"/>
          <w:sz w:val="21"/>
          <w:szCs w:val="21"/>
          <w:highlight w:val="none"/>
          <w:lang w:val="en-US" w:eastAsia="zh-CN"/>
        </w:rPr>
        <w:t xml:space="preserve">供应商</w:t>
      </w:r>
      <w:r>
        <w:rPr>
          <w:rFonts w:hint="eastAsia" w:asciiTheme="minorEastAsia" w:hAnsiTheme="minorEastAsia" w:eastAsiaTheme="minorEastAsia" w:cstheme="minorEastAsia"/>
          <w:color w:val="auto"/>
          <w:sz w:val="21"/>
          <w:szCs w:val="21"/>
          <w:highlight w:val="none"/>
        </w:rPr>
        <w:t xml:space="preserve">提供24小时免费400或其他免费维修服务热线电话，提供在线技术咨询和维修诊断的得</w:t>
      </w:r>
      <w:r>
        <w:rPr>
          <w:rFonts w:hint="eastAsia" w:asciiTheme="minorEastAsia" w:hAnsiTheme="minorEastAsia" w:eastAsiaTheme="minorEastAsia" w:cstheme="minorEastAsia"/>
          <w:color w:val="auto"/>
          <w:sz w:val="21"/>
          <w:szCs w:val="21"/>
          <w:highlight w:val="none"/>
          <w:lang w:val="en-US" w:eastAsia="zh-CN"/>
        </w:rPr>
        <w:t xml:space="preserve">1分。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重要设备如放射设备、超声设备、输注设备、压力容器设备、生命急救类等需各配备1名经过正规培训的工程师，每有一个得1分，最高5分。提供每个专职设备服务工程师基本信息资料（姓名、年龄、职称、维保业绩）及经培训证明及由供应商为其缴纳的近一个月社保证明材料。</w:t>
      </w:r>
      <w:r/>
    </w:p>
    <w:p>
      <w:pPr>
        <w:ind w:firstLine="420"/>
        <w:jc w:val="left"/>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1"/>
          <w:szCs w:val="21"/>
          <w:highlight w:val="none"/>
        </w:rPr>
        <w:t xml:space="preserve">5、</w:t>
      </w:r>
      <w:r>
        <w:rPr>
          <w:rFonts w:hint="eastAsia" w:asciiTheme="minorEastAsia" w:hAnsiTheme="minorEastAsia" w:eastAsiaTheme="minorEastAsia" w:cstheme="minorEastAsia"/>
          <w:color w:val="auto"/>
          <w:sz w:val="21"/>
          <w:szCs w:val="21"/>
          <w:highlight w:val="none"/>
          <w:lang w:val="en-US" w:eastAsia="zh-CN"/>
        </w:rPr>
        <w:t xml:space="preserve">供应商具有</w:t>
      </w:r>
      <w:r>
        <w:rPr>
          <w:rFonts w:hint="eastAsia" w:asciiTheme="minorEastAsia" w:hAnsiTheme="minorEastAsia" w:eastAsiaTheme="minorEastAsia" w:cstheme="minorEastAsia"/>
          <w:color w:val="auto"/>
          <w:sz w:val="21"/>
          <w:szCs w:val="21"/>
          <w:highlight w:val="none"/>
        </w:rPr>
        <w:t xml:space="preserve">有效期内的医疗器械质量管理体系认证、环境管理体系认证、职业健康安全管理体系认证，</w:t>
      </w:r>
      <w:r>
        <w:rPr>
          <w:rFonts w:hint="eastAsia" w:asciiTheme="minorEastAsia" w:hAnsiTheme="minorEastAsia" w:eastAsiaTheme="minorEastAsia" w:cstheme="minorEastAsia"/>
          <w:color w:val="auto"/>
          <w:sz w:val="21"/>
          <w:szCs w:val="21"/>
          <w:highlight w:val="none"/>
          <w:lang w:val="en-US" w:eastAsia="zh-CN"/>
        </w:rPr>
        <w:t xml:space="preserve">信息安全管理</w:t>
      </w:r>
      <w:r>
        <w:rPr>
          <w:rFonts w:hint="eastAsia" w:asciiTheme="minorEastAsia" w:hAnsiTheme="minorEastAsia" w:eastAsiaTheme="minorEastAsia" w:cstheme="minorEastAsia"/>
          <w:color w:val="auto"/>
          <w:sz w:val="21"/>
          <w:szCs w:val="21"/>
          <w:highlight w:val="none"/>
        </w:rPr>
        <w:t xml:space="preserve">体系认证</w:t>
      </w:r>
      <w:r>
        <w:rPr>
          <w:rFonts w:hint="eastAsia" w:asciiTheme="minorEastAsia" w:hAnsiTheme="minorEastAsia" w:eastAsiaTheme="minorEastAsia" w:cstheme="minorEastAsia"/>
          <w:color w:val="auto"/>
          <w:sz w:val="21"/>
          <w:szCs w:val="21"/>
          <w:highlight w:val="none"/>
        </w:rPr>
        <w:t xml:space="preserve">证书、</w:t>
      </w:r>
      <w:r>
        <w:rPr>
          <w:rFonts w:hint="eastAsia" w:asciiTheme="minorEastAsia" w:hAnsiTheme="minorEastAsia" w:eastAsiaTheme="minorEastAsia" w:cstheme="minorEastAsia"/>
          <w:color w:val="auto"/>
          <w:sz w:val="21"/>
          <w:szCs w:val="21"/>
          <w:highlight w:val="none"/>
          <w:lang w:val="en-US" w:eastAsia="zh-CN"/>
        </w:rPr>
        <w:t xml:space="preserve">信息技术服务管理体系</w:t>
      </w:r>
      <w:r>
        <w:rPr>
          <w:rFonts w:hint="eastAsia" w:asciiTheme="minorEastAsia" w:hAnsiTheme="minorEastAsia" w:eastAsiaTheme="minorEastAsia" w:cstheme="minorEastAsia"/>
          <w:color w:val="auto"/>
          <w:sz w:val="21"/>
          <w:szCs w:val="21"/>
          <w:highlight w:val="none"/>
        </w:rPr>
        <w:t xml:space="preserve">认证证书</w:t>
      </w:r>
      <w:r>
        <w:rPr>
          <w:rFonts w:hint="eastAsia" w:asciiTheme="minorEastAsia" w:hAnsiTheme="minorEastAsia" w:eastAsiaTheme="minorEastAsia" w:cstheme="minorEastAsia"/>
          <w:color w:val="auto"/>
          <w:sz w:val="21"/>
          <w:szCs w:val="21"/>
          <w:highlight w:val="none"/>
          <w:lang w:val="en-US" w:eastAsia="zh-CN"/>
        </w:rPr>
        <w:t xml:space="preserve">得1</w:t>
      </w:r>
      <w:r>
        <w:rPr>
          <w:rFonts w:hint="eastAsia" w:asciiTheme="minorEastAsia" w:hAnsiTheme="minorEastAsia" w:eastAsiaTheme="minorEastAsia" w:cstheme="minorEastAsia"/>
          <w:color w:val="auto"/>
          <w:sz w:val="21"/>
          <w:szCs w:val="21"/>
          <w:highlight w:val="none"/>
        </w:rPr>
        <w:t xml:space="preserve">分，最高</w:t>
      </w: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分。（提供证书扫描件及全国认证认可信息公共服务平台相关证书截图扫描件，否则不得分）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（四）履约能力比较（8分）</w:t>
      </w:r>
      <w:r/>
    </w:p>
    <w:p>
      <w:pPr>
        <w:pStyle w:val="700"/>
        <w:ind w:firstLine="420"/>
        <w:keepLines w:val="0"/>
        <w:keepNext w:val="0"/>
        <w:pageBreakBefore w:val="0"/>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1、提供自2022年1月1日至今承接的类似项目经验，每提供一份合同得2分，最高8分。（提供合同</w:t>
      </w:r>
      <w:r>
        <w:rPr>
          <w:rFonts w:hint="eastAsia" w:asciiTheme="minorEastAsia" w:hAnsiTheme="minorEastAsia" w:eastAsiaTheme="minorEastAsia" w:cstheme="minorEastAsia"/>
          <w:color w:val="auto"/>
          <w:sz w:val="21"/>
          <w:szCs w:val="21"/>
          <w:highlight w:val="none"/>
          <w:lang w:eastAsia="zh-CN"/>
        </w:rPr>
        <w:t xml:space="preserve">扫描件</w:t>
      </w:r>
      <w:r>
        <w:rPr>
          <w:rFonts w:hint="eastAsia" w:asciiTheme="minorEastAsia" w:hAnsiTheme="minorEastAsia" w:eastAsiaTheme="minorEastAsia" w:cstheme="minorEastAsia"/>
          <w:color w:val="auto"/>
          <w:sz w:val="21"/>
          <w:szCs w:val="21"/>
          <w:highlight w:val="none"/>
        </w:rPr>
        <w:t xml:space="preserve">）。</w:t>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pStyle w:val="694"/>
        <w:ind w:left="0" w:firstLine="0"/>
        <w:spacing w:after="0" w:line="360" w:lineRule="auto"/>
        <w:rPr>
          <w:rFonts w:ascii="宋体" w:hAnsi="宋体" w:eastAsia="宋体"/>
          <w:color w:val="auto"/>
          <w:sz w:val="52"/>
          <w:highlight w:val="none"/>
        </w:rPr>
      </w:pPr>
      <w:r>
        <w:rPr>
          <w:rFonts w:ascii="宋体" w:hAnsi="宋体" w:eastAsia="宋体"/>
          <w:color w:val="auto"/>
          <w:sz w:val="52"/>
          <w:highlight w:val="none"/>
        </w:rPr>
      </w:r>
      <w:r/>
    </w:p>
    <w:p>
      <w:pPr>
        <w:jc w:val="center"/>
        <w:spacing w:line="360" w:lineRule="auto"/>
        <w:widowControl/>
        <w:tabs>
          <w:tab w:val="left" w:pos="1220" w:leader="none"/>
        </w:tabs>
        <w:rPr>
          <w:rFonts w:ascii="宋体" w:hAnsi="宋体"/>
          <w:b/>
          <w:color w:val="auto"/>
          <w:sz w:val="32"/>
          <w:szCs w:val="32"/>
          <w:highlight w:val="none"/>
        </w:rPr>
      </w:pPr>
      <w:r>
        <w:rPr>
          <w:rFonts w:hint="eastAsia" w:ascii="宋体" w:hAnsi="宋体"/>
          <w:b/>
          <w:color w:val="auto"/>
          <w:sz w:val="32"/>
          <w:szCs w:val="32"/>
          <w:highlight w:val="none"/>
        </w:rPr>
        <w:t xml:space="preserve">第六章 附件</w:t>
      </w:r>
      <w:r/>
    </w:p>
    <w:p>
      <w:pPr>
        <w:jc w:val="both"/>
        <w:spacing w:line="360" w:lineRule="auto"/>
        <w:widowControl/>
        <w:tabs>
          <w:tab w:val="left" w:pos="1220" w:leader="none"/>
        </w:tabs>
        <w:rPr>
          <w:rFonts w:ascii="宋体" w:hAnsi="宋体"/>
          <w:color w:val="auto"/>
          <w:szCs w:val="21"/>
          <w:highlight w:val="none"/>
        </w:rPr>
      </w:pPr>
      <w:r>
        <w:rPr>
          <w:rFonts w:hint="eastAsia" w:ascii="宋体" w:hAnsi="宋体"/>
          <w:b/>
          <w:bCs/>
          <w:color w:val="auto"/>
          <w:szCs w:val="21"/>
          <w:highlight w:val="none"/>
          <w:lang w:val="en-US" w:eastAsia="zh-CN"/>
        </w:rPr>
        <w:t xml:space="preserve">附件1、</w:t>
      </w:r>
      <w:r>
        <w:rPr>
          <w:rFonts w:hint="eastAsia" w:ascii="宋体" w:hAnsi="宋体"/>
          <w:b/>
          <w:bCs/>
          <w:color w:val="auto"/>
          <w:szCs w:val="21"/>
          <w:highlight w:val="none"/>
        </w:rPr>
        <w:t xml:space="preserve">银行履约保函</w:t>
      </w:r>
      <w:r/>
    </w:p>
    <w:p>
      <w:pPr>
        <w:spacing w:before="96" w:after="96" w:line="360" w:lineRule="exact"/>
        <w:rPr>
          <w:rFonts w:ascii="宋体" w:hAnsi="宋体"/>
          <w:color w:val="auto"/>
          <w:szCs w:val="21"/>
          <w:highlight w:val="none"/>
        </w:rPr>
      </w:pPr>
      <w:r>
        <w:rPr>
          <w:rFonts w:ascii="宋体" w:hAnsi="宋体"/>
          <w:color w:val="auto"/>
          <w:szCs w:val="21"/>
          <w:highlight w:val="none"/>
        </w:rPr>
        <w:t xml:space="preserve">_________________</w:t>
      </w:r>
      <w:r>
        <w:rPr>
          <w:rFonts w:hint="eastAsia" w:ascii="宋体" w:hAnsi="宋体"/>
          <w:color w:val="auto"/>
          <w:szCs w:val="21"/>
          <w:highlight w:val="none"/>
        </w:rPr>
        <w:t xml:space="preserve">      ：</w:t>
      </w:r>
      <w:r/>
    </w:p>
    <w:p>
      <w:pPr>
        <w:ind w:firstLine="42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鉴于，</w:t>
      </w:r>
      <w:r>
        <w:rPr>
          <w:rFonts w:ascii="宋体" w:hAnsi="宋体"/>
          <w:color w:val="auto"/>
          <w:szCs w:val="21"/>
          <w:highlight w:val="none"/>
        </w:rPr>
        <w:t xml:space="preserve">_________________</w:t>
      </w:r>
      <w:r>
        <w:rPr>
          <w:rFonts w:hint="eastAsia" w:ascii="宋体" w:hAnsi="宋体"/>
          <w:color w:val="auto"/>
          <w:szCs w:val="21"/>
          <w:highlight w:val="none"/>
        </w:rPr>
        <w:t xml:space="preserve">公司</w:t>
      </w:r>
      <w:r>
        <w:rPr>
          <w:rFonts w:ascii="宋体" w:hAnsi="宋体"/>
          <w:color w:val="auto"/>
          <w:szCs w:val="21"/>
          <w:highlight w:val="none"/>
        </w:rPr>
        <w:t xml:space="preserve">（</w:t>
      </w:r>
      <w:r>
        <w:rPr>
          <w:rFonts w:hint="eastAsia" w:ascii="宋体" w:hAnsi="宋体"/>
          <w:color w:val="auto"/>
          <w:szCs w:val="21"/>
          <w:highlight w:val="none"/>
          <w:lang w:eastAsia="zh-CN"/>
        </w:rPr>
        <w:t xml:space="preserve">成交</w:t>
      </w:r>
      <w:r>
        <w:rPr>
          <w:rFonts w:ascii="宋体" w:hAnsi="宋体"/>
          <w:color w:val="auto"/>
          <w:szCs w:val="21"/>
          <w:highlight w:val="none"/>
        </w:rPr>
        <w:t xml:space="preserve">人</w:t>
      </w:r>
      <w:r>
        <w:rPr>
          <w:rFonts w:hint="eastAsia" w:ascii="宋体" w:hAnsi="宋体"/>
          <w:color w:val="auto"/>
          <w:szCs w:val="21"/>
          <w:highlight w:val="none"/>
        </w:rPr>
        <w:t xml:space="preserve">、保函申请人</w:t>
      </w:r>
      <w:r>
        <w:rPr>
          <w:rFonts w:ascii="宋体" w:hAnsi="宋体"/>
          <w:color w:val="auto"/>
          <w:szCs w:val="21"/>
          <w:highlight w:val="none"/>
        </w:rPr>
        <w:t xml:space="preserve">）参加</w:t>
      </w:r>
      <w:r>
        <w:rPr>
          <w:rFonts w:hint="eastAsia" w:ascii="宋体" w:hAnsi="宋体"/>
          <w:color w:val="auto"/>
          <w:szCs w:val="21"/>
          <w:highlight w:val="none"/>
        </w:rPr>
        <w:t xml:space="preserve">了</w:t>
      </w:r>
      <w:r>
        <w:rPr>
          <w:rFonts w:ascii="宋体" w:hAnsi="宋体"/>
          <w:color w:val="auto"/>
          <w:szCs w:val="21"/>
          <w:highlight w:val="none"/>
        </w:rPr>
        <w:t xml:space="preserve">____________项目（</w:t>
      </w:r>
      <w:r>
        <w:rPr>
          <w:rFonts w:hint="eastAsia" w:ascii="宋体" w:hAnsi="宋体"/>
          <w:color w:val="auto"/>
          <w:szCs w:val="21"/>
          <w:highlight w:val="none"/>
        </w:rPr>
        <w:t xml:space="preserve">招标项目编号：_</w:t>
      </w:r>
      <w:r>
        <w:rPr>
          <w:rFonts w:ascii="宋体" w:hAnsi="宋体"/>
          <w:color w:val="auto"/>
          <w:szCs w:val="21"/>
          <w:highlight w:val="none"/>
        </w:rPr>
        <w:t xml:space="preserve">_____________</w:t>
      </w:r>
      <w:r>
        <w:rPr>
          <w:rFonts w:hint="eastAsia" w:ascii="宋体" w:hAnsi="宋体"/>
          <w:color w:val="auto"/>
          <w:szCs w:val="21"/>
          <w:highlight w:val="none"/>
        </w:rPr>
        <w:t xml:space="preserve">，</w:t>
      </w:r>
      <w:r>
        <w:rPr>
          <w:rFonts w:ascii="宋体" w:hAnsi="宋体"/>
          <w:color w:val="auto"/>
          <w:szCs w:val="21"/>
          <w:highlight w:val="none"/>
        </w:rPr>
        <w:t xml:space="preserve">下称“本项目”）投标并</w:t>
      </w:r>
      <w:r>
        <w:rPr>
          <w:rFonts w:hint="eastAsia" w:ascii="宋体" w:hAnsi="宋体"/>
          <w:color w:val="auto"/>
          <w:szCs w:val="21"/>
          <w:highlight w:val="none"/>
          <w:lang w:eastAsia="zh-CN"/>
        </w:rPr>
        <w:t xml:space="preserve">成交</w:t>
      </w:r>
      <w:r>
        <w:rPr>
          <w:rFonts w:ascii="宋体" w:hAnsi="宋体"/>
          <w:color w:val="auto"/>
          <w:szCs w:val="21"/>
          <w:highlight w:val="none"/>
        </w:rPr>
        <w:t xml:space="preserve">，</w:t>
      </w:r>
      <w:r>
        <w:rPr>
          <w:rFonts w:hint="eastAsia" w:ascii="宋体" w:hAnsi="宋体"/>
          <w:color w:val="auto"/>
          <w:szCs w:val="21"/>
          <w:highlight w:val="none"/>
        </w:rPr>
        <w:t xml:space="preserve">其承诺</w:t>
      </w:r>
      <w:r>
        <w:rPr>
          <w:rFonts w:ascii="宋体" w:hAnsi="宋体"/>
          <w:color w:val="auto"/>
          <w:szCs w:val="21"/>
          <w:highlight w:val="none"/>
        </w:rPr>
        <w:t xml:space="preserve">将严格按照</w:t>
      </w:r>
      <w:r>
        <w:rPr>
          <w:rFonts w:hint="eastAsia" w:ascii="宋体" w:hAnsi="宋体"/>
          <w:color w:val="auto"/>
          <w:szCs w:val="21"/>
          <w:highlight w:val="none"/>
        </w:rPr>
        <w:t xml:space="preserve">招投标文件以及与贵司签订的《_</w:t>
      </w:r>
      <w:r>
        <w:rPr>
          <w:rFonts w:ascii="宋体" w:hAnsi="宋体"/>
          <w:color w:val="auto"/>
          <w:szCs w:val="21"/>
          <w:highlight w:val="none"/>
        </w:rPr>
        <w:t xml:space="preserve">_______________</w:t>
      </w:r>
      <w:r>
        <w:rPr>
          <w:rFonts w:hint="eastAsia" w:ascii="宋体" w:hAnsi="宋体"/>
          <w:color w:val="auto"/>
          <w:szCs w:val="21"/>
          <w:highlight w:val="none"/>
        </w:rPr>
        <w:t xml:space="preserve">》（下称“合同”）</w:t>
      </w:r>
      <w:r>
        <w:rPr>
          <w:rFonts w:ascii="宋体" w:hAnsi="宋体"/>
          <w:color w:val="auto"/>
          <w:szCs w:val="21"/>
          <w:highlight w:val="none"/>
        </w:rPr>
        <w:t xml:space="preserve">履行义务</w:t>
      </w:r>
      <w:r>
        <w:rPr>
          <w:rFonts w:hint="eastAsia" w:ascii="宋体" w:hAnsi="宋体"/>
          <w:color w:val="auto"/>
          <w:szCs w:val="21"/>
          <w:highlight w:val="none"/>
        </w:rPr>
        <w:t xml:space="preserve">，并向我行申请开具担保总金额为合同金额_</w:t>
      </w:r>
      <w:r>
        <w:rPr>
          <w:rFonts w:ascii="宋体" w:hAnsi="宋体"/>
          <w:color w:val="auto"/>
          <w:szCs w:val="21"/>
          <w:highlight w:val="none"/>
        </w:rPr>
        <w:t xml:space="preserve">___</w:t>
      </w:r>
      <w:r>
        <w:rPr>
          <w:rFonts w:hint="eastAsia" w:ascii="宋体" w:hAnsi="宋体"/>
          <w:color w:val="auto"/>
          <w:szCs w:val="21"/>
          <w:highlight w:val="none"/>
        </w:rPr>
        <w:t xml:space="preserve">%的履约保函作为对贵司的履约担保。</w:t>
      </w:r>
      <w:r/>
    </w:p>
    <w:p>
      <w:pPr>
        <w:ind w:firstLine="420"/>
        <w:spacing w:before="96" w:after="96" w:line="360" w:lineRule="exact"/>
        <w:rPr>
          <w:rFonts w:ascii="宋体" w:hAnsi="宋体"/>
          <w:color w:val="auto"/>
          <w:szCs w:val="21"/>
          <w:highlight w:val="none"/>
        </w:rPr>
      </w:pPr>
      <w:r>
        <w:rPr>
          <w:rFonts w:ascii="宋体" w:hAnsi="宋体"/>
          <w:color w:val="auto"/>
          <w:szCs w:val="21"/>
          <w:highlight w:val="none"/>
        </w:rPr>
        <w:t xml:space="preserve">我行应</w:t>
      </w:r>
      <w:r>
        <w:rPr>
          <w:rFonts w:hint="eastAsia" w:ascii="宋体" w:hAnsi="宋体"/>
          <w:color w:val="auto"/>
          <w:szCs w:val="21"/>
          <w:highlight w:val="none"/>
        </w:rPr>
        <w:t xml:space="preserve">保函申请人</w:t>
      </w:r>
      <w:r>
        <w:rPr>
          <w:rFonts w:ascii="宋体" w:hAnsi="宋体"/>
          <w:color w:val="auto"/>
          <w:szCs w:val="21"/>
          <w:highlight w:val="none"/>
        </w:rPr>
        <w:t xml:space="preserve">申请，向</w:t>
      </w:r>
      <w:r>
        <w:rPr>
          <w:rFonts w:hint="eastAsia" w:ascii="宋体" w:hAnsi="宋体"/>
          <w:color w:val="auto"/>
          <w:szCs w:val="21"/>
          <w:highlight w:val="none"/>
        </w:rPr>
        <w:t xml:space="preserve">贵司（</w:t>
      </w:r>
      <w:r>
        <w:rPr>
          <w:rFonts w:ascii="宋体" w:hAnsi="宋体"/>
          <w:color w:val="auto"/>
          <w:szCs w:val="21"/>
          <w:highlight w:val="none"/>
        </w:rPr>
        <w:t xml:space="preserve">采购</w:t>
      </w:r>
      <w:r>
        <w:rPr>
          <w:rFonts w:hint="eastAsia" w:ascii="宋体" w:hAnsi="宋体"/>
          <w:color w:val="auto"/>
          <w:szCs w:val="21"/>
          <w:highlight w:val="none"/>
        </w:rPr>
        <w:t xml:space="preserve">人、保函受益人）</w:t>
      </w:r>
      <w:r>
        <w:rPr>
          <w:rFonts w:ascii="宋体" w:hAnsi="宋体"/>
          <w:color w:val="auto"/>
          <w:szCs w:val="21"/>
          <w:highlight w:val="none"/>
        </w:rPr>
        <w:t xml:space="preserve">提供履约担保如下：</w:t>
      </w:r>
      <w:r/>
    </w:p>
    <w:p>
      <w:pPr>
        <w:ind w:firstLine="42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我行</w:t>
      </w:r>
      <w:r>
        <w:rPr>
          <w:rFonts w:ascii="宋体" w:hAnsi="宋体"/>
          <w:color w:val="auto"/>
          <w:szCs w:val="21"/>
          <w:highlight w:val="none"/>
        </w:rPr>
        <w:t xml:space="preserve">在此不可撤销且无条件地向贵司承诺，我行</w:t>
      </w:r>
      <w:r>
        <w:rPr>
          <w:rFonts w:hint="eastAsia" w:ascii="宋体" w:hAnsi="宋体"/>
          <w:color w:val="auto"/>
          <w:szCs w:val="21"/>
          <w:highlight w:val="none"/>
        </w:rPr>
        <w:t xml:space="preserve">为保函申请人</w:t>
      </w:r>
      <w:r>
        <w:rPr>
          <w:rFonts w:ascii="宋体" w:hAnsi="宋体"/>
          <w:color w:val="auto"/>
          <w:szCs w:val="21"/>
          <w:highlight w:val="none"/>
        </w:rPr>
        <w:t xml:space="preserve">向贵司承担支付</w:t>
      </w:r>
      <w:r>
        <w:rPr>
          <w:rFonts w:hint="eastAsia" w:ascii="宋体" w:hAnsi="宋体"/>
          <w:color w:val="auto"/>
          <w:szCs w:val="21"/>
          <w:highlight w:val="none"/>
        </w:rPr>
        <w:t xml:space="preserve">不超过</w:t>
      </w:r>
      <w:r>
        <w:rPr>
          <w:rFonts w:ascii="宋体" w:hAnsi="宋体"/>
          <w:color w:val="auto"/>
          <w:szCs w:val="21"/>
          <w:highlight w:val="none"/>
        </w:rPr>
        <w:t xml:space="preserve">人民币_____________元（大写：                     元）的担保责任</w:t>
      </w:r>
      <w:r>
        <w:rPr>
          <w:rFonts w:hint="eastAsia" w:ascii="宋体" w:hAnsi="宋体"/>
          <w:color w:val="auto"/>
          <w:szCs w:val="21"/>
          <w:highlight w:val="none"/>
        </w:rPr>
        <w:t xml:space="preserve">（担保总金额）</w:t>
      </w:r>
      <w:r>
        <w:rPr>
          <w:rFonts w:ascii="宋体" w:hAnsi="宋体"/>
          <w:color w:val="auto"/>
          <w:szCs w:val="21"/>
          <w:highlight w:val="none"/>
        </w:rPr>
        <w:t xml:space="preserve">，即</w:t>
      </w:r>
      <w:r>
        <w:rPr>
          <w:rFonts w:hint="eastAsia" w:ascii="宋体" w:hAnsi="宋体"/>
          <w:color w:val="auto"/>
          <w:szCs w:val="21"/>
          <w:highlight w:val="none"/>
        </w:rPr>
        <w:t xml:space="preserve">：</w:t>
      </w:r>
      <w:r>
        <w:rPr>
          <w:rFonts w:ascii="宋体" w:hAnsi="宋体"/>
          <w:color w:val="auto"/>
          <w:szCs w:val="21"/>
          <w:highlight w:val="none"/>
        </w:rPr>
        <w:t xml:space="preserve">在收到贵司关于阐述_______________________公司违约（违约情形</w:t>
      </w:r>
      <w:r>
        <w:rPr>
          <w:rFonts w:hint="eastAsia" w:ascii="宋体" w:hAnsi="宋体"/>
          <w:color w:val="auto"/>
          <w:szCs w:val="21"/>
          <w:highlight w:val="none"/>
        </w:rPr>
        <w:t xml:space="preserve">、违约次数</w:t>
      </w:r>
      <w:r>
        <w:rPr>
          <w:rFonts w:ascii="宋体" w:hAnsi="宋体"/>
          <w:color w:val="auto"/>
          <w:szCs w:val="21"/>
          <w:highlight w:val="none"/>
        </w:rPr>
        <w:t xml:space="preserve">不限）和/或对贵司造成任何损失的书面通知后五</w:t>
      </w:r>
      <w:r>
        <w:rPr>
          <w:rFonts w:hint="eastAsia" w:ascii="宋体" w:hAnsi="宋体"/>
          <w:color w:val="auto"/>
          <w:szCs w:val="21"/>
          <w:highlight w:val="none"/>
        </w:rPr>
        <w:t xml:space="preserve">个工作</w:t>
      </w:r>
      <w:r>
        <w:rPr>
          <w:rFonts w:ascii="宋体" w:hAnsi="宋体"/>
          <w:color w:val="auto"/>
          <w:szCs w:val="21"/>
          <w:highlight w:val="none"/>
        </w:rPr>
        <w:t xml:space="preserve">日内，即按照</w:t>
      </w:r>
      <w:r>
        <w:rPr>
          <w:rFonts w:hint="eastAsia" w:ascii="宋体" w:hAnsi="宋体"/>
          <w:color w:val="auto"/>
          <w:szCs w:val="21"/>
          <w:highlight w:val="none"/>
        </w:rPr>
        <w:t xml:space="preserve">贵司</w:t>
      </w:r>
      <w:r>
        <w:rPr>
          <w:rFonts w:ascii="宋体" w:hAnsi="宋体"/>
          <w:color w:val="auto"/>
          <w:szCs w:val="21"/>
          <w:highlight w:val="none"/>
        </w:rPr>
        <w:t xml:space="preserve">书面通知中的</w:t>
      </w:r>
      <w:r>
        <w:rPr>
          <w:rFonts w:hint="eastAsia" w:ascii="宋体" w:hAnsi="宋体"/>
          <w:color w:val="auto"/>
          <w:szCs w:val="21"/>
          <w:highlight w:val="none"/>
        </w:rPr>
        <w:t xml:space="preserve">索赔</w:t>
      </w:r>
      <w:r>
        <w:rPr>
          <w:rFonts w:ascii="宋体" w:hAnsi="宋体"/>
          <w:color w:val="auto"/>
          <w:szCs w:val="21"/>
          <w:highlight w:val="none"/>
        </w:rPr>
        <w:t xml:space="preserve">金额向贵司</w:t>
      </w:r>
      <w:r>
        <w:rPr>
          <w:rFonts w:hint="eastAsia" w:ascii="宋体" w:hAnsi="宋体"/>
          <w:color w:val="auto"/>
          <w:szCs w:val="21"/>
          <w:highlight w:val="none"/>
        </w:rPr>
        <w:t xml:space="preserve">做出同等金额支付</w:t>
      </w:r>
      <w:r>
        <w:rPr>
          <w:rFonts w:ascii="宋体" w:hAnsi="宋体"/>
          <w:color w:val="auto"/>
          <w:szCs w:val="21"/>
          <w:highlight w:val="none"/>
        </w:rPr>
        <w:t xml:space="preserve">。</w:t>
      </w:r>
      <w:r/>
    </w:p>
    <w:p>
      <w:pPr>
        <w:ind w:firstLine="42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在索赔金额总和不超过上述担保总金额的情况下，贵司有权基于保函申请人的违约或过错情况，分次、分情形向我行发出要求承担担保责任的书面通知。</w:t>
      </w:r>
      <w:r/>
    </w:p>
    <w:p>
      <w:pPr>
        <w:ind w:firstLine="42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我行承诺在收到贵司的上述通知后五个工作日内即予支付，无需贵司出具违约和/或损失证明，亦无需与保函申请人</w:t>
      </w:r>
      <w:r>
        <w:rPr>
          <w:rFonts w:ascii="宋体" w:hAnsi="宋体"/>
          <w:color w:val="auto"/>
          <w:szCs w:val="21"/>
          <w:highlight w:val="none"/>
        </w:rPr>
        <w:t xml:space="preserve">联系确认。</w:t>
      </w:r>
      <w:r/>
    </w:p>
    <w:p>
      <w:pPr>
        <w:ind w:firstLine="42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本担保为</w:t>
      </w:r>
      <w:r>
        <w:rPr>
          <w:rFonts w:ascii="宋体" w:hAnsi="宋体"/>
          <w:b/>
          <w:bCs/>
          <w:color w:val="auto"/>
          <w:szCs w:val="21"/>
          <w:highlight w:val="none"/>
        </w:rPr>
        <w:t xml:space="preserve">见索即付保函</w:t>
      </w:r>
      <w:r>
        <w:rPr>
          <w:rFonts w:hint="eastAsia" w:ascii="宋体" w:hAnsi="宋体"/>
          <w:color w:val="auto"/>
          <w:szCs w:val="21"/>
          <w:highlight w:val="none"/>
        </w:rPr>
        <w:t xml:space="preserve">，我行放弃贵司应首先向保函申请人</w:t>
      </w:r>
      <w:r>
        <w:rPr>
          <w:rFonts w:ascii="宋体" w:hAnsi="宋体"/>
          <w:color w:val="auto"/>
          <w:szCs w:val="21"/>
          <w:highlight w:val="none"/>
        </w:rPr>
        <w:t xml:space="preserve">主张</w:t>
      </w:r>
      <w:r>
        <w:rPr>
          <w:rFonts w:hint="eastAsia" w:ascii="宋体" w:hAnsi="宋体"/>
          <w:color w:val="auto"/>
          <w:szCs w:val="21"/>
          <w:highlight w:val="none"/>
        </w:rPr>
        <w:t xml:space="preserve">书面通知所述</w:t>
      </w:r>
      <w:r>
        <w:rPr>
          <w:rFonts w:ascii="宋体" w:hAnsi="宋体"/>
          <w:color w:val="auto"/>
          <w:szCs w:val="21"/>
          <w:highlight w:val="none"/>
        </w:rPr>
        <w:t xml:space="preserve">金额再向我行提出支付要求的权利。</w:t>
      </w:r>
      <w:r/>
    </w:p>
    <w:p>
      <w:pPr>
        <w:ind w:firstLine="420"/>
        <w:spacing w:before="96" w:after="96" w:line="360" w:lineRule="exact"/>
        <w:rPr>
          <w:rFonts w:ascii="宋体" w:hAnsi="宋体"/>
          <w:color w:val="auto"/>
          <w:szCs w:val="21"/>
          <w:highlight w:val="none"/>
        </w:rPr>
      </w:pPr>
      <w:r>
        <w:rPr>
          <w:rFonts w:ascii="宋体" w:hAnsi="宋体"/>
          <w:color w:val="auto"/>
          <w:szCs w:val="21"/>
          <w:highlight w:val="none"/>
        </w:rPr>
        <w:t xml:space="preserve">合同项下的任何条件、条款发生任何</w:t>
      </w:r>
      <w:r>
        <w:rPr>
          <w:rFonts w:hint="eastAsia" w:ascii="宋体" w:hAnsi="宋体"/>
          <w:color w:val="auto"/>
          <w:szCs w:val="21"/>
          <w:highlight w:val="none"/>
        </w:rPr>
        <w:t xml:space="preserve">修改、</w:t>
      </w:r>
      <w:r>
        <w:rPr>
          <w:rFonts w:ascii="宋体" w:hAnsi="宋体"/>
          <w:color w:val="auto"/>
          <w:szCs w:val="21"/>
          <w:highlight w:val="none"/>
        </w:rPr>
        <w:t xml:space="preserve">补充</w:t>
      </w:r>
      <w:r>
        <w:rPr>
          <w:rFonts w:hint="eastAsia" w:ascii="宋体" w:hAnsi="宋体"/>
          <w:color w:val="auto"/>
          <w:szCs w:val="21"/>
          <w:highlight w:val="none"/>
        </w:rPr>
        <w:t xml:space="preserve">或被撤销、解除或提前终止的</w:t>
      </w:r>
      <w:r>
        <w:rPr>
          <w:rFonts w:ascii="宋体" w:hAnsi="宋体"/>
          <w:color w:val="auto"/>
          <w:szCs w:val="21"/>
          <w:highlight w:val="none"/>
        </w:rPr>
        <w:t xml:space="preserve">，我行承担的本保函项下</w:t>
      </w:r>
      <w:r>
        <w:rPr>
          <w:rFonts w:hint="eastAsia" w:ascii="宋体" w:hAnsi="宋体"/>
          <w:color w:val="auto"/>
          <w:szCs w:val="21"/>
          <w:highlight w:val="none"/>
        </w:rPr>
        <w:t xml:space="preserve">的</w:t>
      </w:r>
      <w:r>
        <w:rPr>
          <w:rFonts w:ascii="宋体" w:hAnsi="宋体"/>
          <w:color w:val="auto"/>
          <w:szCs w:val="21"/>
          <w:highlight w:val="none"/>
        </w:rPr>
        <w:t xml:space="preserve">担保责任不变，</w:t>
      </w:r>
      <w:r>
        <w:rPr>
          <w:rFonts w:hint="eastAsia" w:ascii="宋体" w:hAnsi="宋体"/>
          <w:color w:val="auto"/>
          <w:szCs w:val="21"/>
          <w:highlight w:val="none"/>
        </w:rPr>
        <w:t xml:space="preserve">前述关于合同的</w:t>
      </w:r>
      <w:r>
        <w:rPr>
          <w:rFonts w:ascii="宋体" w:hAnsi="宋体"/>
          <w:color w:val="auto"/>
          <w:szCs w:val="21"/>
          <w:highlight w:val="none"/>
        </w:rPr>
        <w:t xml:space="preserve">有关变化也无须通知我行。</w:t>
      </w:r>
      <w:r/>
    </w:p>
    <w:p>
      <w:pPr>
        <w:ind w:firstLine="42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本保函一经开具即持续有效且不可撤销，有效期自本保函开具之日起至合同有效期届满后九十（</w:t>
      </w:r>
      <w:r>
        <w:rPr>
          <w:rFonts w:ascii="宋体" w:hAnsi="宋体"/>
          <w:color w:val="auto"/>
          <w:szCs w:val="21"/>
          <w:highlight w:val="none"/>
        </w:rPr>
        <w:t xml:space="preserve">90）</w:t>
      </w:r>
      <w:r>
        <w:rPr>
          <w:rFonts w:hint="eastAsia" w:ascii="宋体" w:hAnsi="宋体"/>
          <w:color w:val="auto"/>
          <w:szCs w:val="21"/>
          <w:highlight w:val="none"/>
        </w:rPr>
        <w:t xml:space="preserve">日。</w:t>
      </w:r>
      <w:r/>
    </w:p>
    <w:p>
      <w:pPr>
        <w:spacing w:before="96" w:after="96" w:line="360" w:lineRule="exact"/>
        <w:rPr>
          <w:rFonts w:ascii="宋体" w:hAnsi="宋体"/>
          <w:color w:val="auto"/>
          <w:szCs w:val="21"/>
          <w:highlight w:val="none"/>
        </w:rPr>
      </w:pPr>
      <w:r>
        <w:rPr>
          <w:rFonts w:ascii="宋体" w:hAnsi="宋体"/>
          <w:color w:val="auto"/>
          <w:szCs w:val="21"/>
          <w:highlight w:val="none"/>
        </w:rPr>
      </w:r>
      <w:r/>
    </w:p>
    <w:p>
      <w:pPr>
        <w:ind w:firstLine="378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担保银行：</w:t>
      </w:r>
      <w:r/>
    </w:p>
    <w:p>
      <w:pPr>
        <w:ind w:firstLine="3780"/>
        <w:spacing w:before="96" w:after="96" w:line="360" w:lineRule="exact"/>
        <w:rPr>
          <w:rFonts w:ascii="宋体" w:hAnsi="宋体"/>
          <w:color w:val="auto"/>
          <w:szCs w:val="21"/>
          <w:highlight w:val="none"/>
        </w:rPr>
      </w:pPr>
      <w:r>
        <w:rPr>
          <w:rFonts w:hint="eastAsia" w:ascii="宋体" w:hAnsi="宋体"/>
          <w:color w:val="auto"/>
          <w:szCs w:val="21"/>
          <w:highlight w:val="none"/>
        </w:rPr>
        <w:t xml:space="preserve">法定代表人或其授权的代理人：</w:t>
      </w:r>
      <w:r/>
    </w:p>
    <w:p>
      <w:pPr>
        <w:ind w:left="1365" w:firstLine="2100"/>
        <w:spacing w:before="96" w:after="96" w:line="360" w:lineRule="exact"/>
        <w:rPr>
          <w:rFonts w:ascii="宋体" w:hAnsi="宋体"/>
          <w:color w:val="auto"/>
          <w:szCs w:val="21"/>
          <w:highlight w:val="none"/>
        </w:rPr>
      </w:pPr>
      <w:r>
        <w:rPr>
          <w:rFonts w:ascii="宋体" w:hAnsi="宋体"/>
          <w:color w:val="auto"/>
          <w:szCs w:val="21"/>
          <w:highlight w:val="none"/>
        </w:rPr>
        <w:t xml:space="preserve">（职务）   </w:t>
      </w:r>
      <w:r/>
    </w:p>
    <w:p>
      <w:pPr>
        <w:ind w:firstLine="3570"/>
        <w:spacing w:before="96" w:after="96" w:line="360" w:lineRule="exact"/>
        <w:rPr>
          <w:rFonts w:ascii="宋体" w:hAnsi="宋体"/>
          <w:color w:val="auto"/>
          <w:szCs w:val="21"/>
          <w:highlight w:val="none"/>
        </w:rPr>
      </w:pPr>
      <w:r>
        <w:rPr>
          <w:rFonts w:ascii="宋体" w:hAnsi="宋体"/>
          <w:color w:val="auto"/>
          <w:szCs w:val="21"/>
          <w:highlight w:val="none"/>
        </w:rPr>
        <w:t xml:space="preserve">（姓名）   </w:t>
      </w:r>
      <w:r/>
    </w:p>
    <w:p>
      <w:pPr>
        <w:ind w:firstLine="3570"/>
        <w:spacing w:before="96" w:after="96" w:line="360" w:lineRule="exact"/>
        <w:rPr>
          <w:rFonts w:ascii="宋体" w:hAnsi="宋体"/>
          <w:color w:val="auto"/>
          <w:szCs w:val="21"/>
          <w:highlight w:val="none"/>
        </w:rPr>
      </w:pPr>
      <w:r>
        <w:rPr>
          <w:rFonts w:ascii="宋体" w:hAnsi="宋体"/>
          <w:color w:val="auto"/>
          <w:szCs w:val="21"/>
          <w:highlight w:val="none"/>
        </w:rPr>
        <w:t xml:space="preserve">（签章）                 </w:t>
      </w:r>
      <w:r/>
    </w:p>
    <w:p>
      <w:pPr>
        <w:ind w:firstLine="3780"/>
        <w:spacing w:before="96" w:after="96" w:line="360" w:lineRule="exact"/>
        <w:rPr>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年     月     日</w:t>
      </w:r>
      <w:r/>
    </w:p>
    <w:p>
      <w:pPr>
        <w:pStyle w:val="694"/>
        <w:ind w:left="0" w:firstLine="0"/>
        <w:jc w:val="right"/>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4"/>
        <w:ind w:left="0" w:firstLine="0"/>
        <w:jc w:val="right"/>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4"/>
        <w:ind w:left="0" w:firstLine="0"/>
        <w:jc w:val="right"/>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4"/>
        <w:ind w:left="0" w:firstLine="0"/>
        <w:jc w:val="right"/>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4"/>
        <w:ind w:left="0" w:firstLine="0"/>
        <w:jc w:val="left"/>
        <w:spacing w:after="0"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附件2、设备清单：</w:t>
      </w:r>
      <w:r/>
    </w:p>
    <w:tbl>
      <w:tblPr>
        <w:tblStyle w:val="66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167"/>
        <w:gridCol w:w="3135"/>
        <w:gridCol w:w="1210"/>
        <w:gridCol w:w="1867"/>
        <w:gridCol w:w="576"/>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固定资产名称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开始使用日期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使用部门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姿势矫正镜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KD-JZJ-01康达）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办公室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办公室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彩色超声诊断系统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飞利浦Affiniti70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彩色超声诊断系统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飞利浦Affiniti70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超声科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电子针疗仪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空气压缩式雾化泵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医用冰箱（260L)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振荡器（西林瓶）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东吴医用WZR-D952A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城邦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城邦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AED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光电AED-3100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艾灸床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人形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超声波骨密度仪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电子针疗仪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华佗SDZ-Ⅲ</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电子针疗仪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电子针疗仪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儿童电脑评价仪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儿童多功能体检床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肺功能检测仪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高能红外光治疗仪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红外线灯治疗仪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仙鹤CQ-67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红外线灯治疗仪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仙鹤CQ-67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红外线灯治疗仪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仙鹤CQ-67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家庭医生巡诊包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家庭医生巡诊包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家庭医生巡诊包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家庭医生巡诊包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颈椎牵引床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日新RXPC-500D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H062鱼跃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CR2001(680*420*920)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数字化门诊专用留观机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数字化门诊专用取号机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伟伦VS100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心脑血管系统状态监测仪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青岛海尔HYC-391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医用冰箱（360L)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医用冷藏冰箱(50L接种台）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海尔、HYC-68A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医用冷藏冰箱(50L接种台）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海尔、HYC-68A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医用冷藏冰箱(50L接种台）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海尔、HYC-68A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医用冷冻冰箱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中科美菱DW-YL270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康娃WS-RTG-1G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中医针灸按摩床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中医针灸按摩床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姿势矫正镜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申光ZXC-11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自助体检机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东沙湖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东沙湖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75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耳鼻喉内窥镜硬管镜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益柯达YKD-9001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耳鼻喉综合治疗仪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ENT2210B白云蓝天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听力筛查仪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Natus580-ax2191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斯曼峰YX9320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医用不锈钢无菌储物柜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欧鹏、op-BX004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音叉（听力检测）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128HZ、256HZ、512HZ（国产）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耳鼻咽喉科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耳鼻咽喉科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7</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病历车（有把手）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病历车（有把手）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成人体重秤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苏宏RCS-200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电动气垫病床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易瑞康、EMB9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电动气垫病床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易瑞康、EMB9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美的MG100V11D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口服药发药车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美的(Midea)冰箱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190升双门小型家用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微量推注泵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无创呼吸机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斯百瑞/ST-30H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斯曼峰YX9320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自动体外除颤仪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二病区（老年病区）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二病区（老年病区）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多层螺旋CT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GE/Optima/GT520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高压静脉推注泵（放射科增强造影用）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圣诺SinoPower-s （单针筒）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 BCD-190WDCO 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家用双门190升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数字化X线诊断设备（立柱式单板DR）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GE/Brivo/XR316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数字化医用X射线摄影系统（双板多功能悬吊DR)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GE/Optima/XR646 HD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放射科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放射科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TDP神灯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冷光单孔手术灯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十二导联心电图机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SE-1200 Pro</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血红蛋白仪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医用冷冻冰箱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中科美菱DW-YL270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2012-12-31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凤凰城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凤凰城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产科检查床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产科检查床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多普勒胎心诊断仪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手术推车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胎心监护仪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胎心监护仪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妇产科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妇产科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16</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电动人工流产负压吸引器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斯曼峰LX-3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电动人流手术床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脚踏人工流产负压吸引器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斯曼峰TX-1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盆底肌康复仪（核心产品）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苏州好博HB-PME4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外科专用洗手池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润发2人位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无菌柜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移动式无影灯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治疗车（带柜体）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妇科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妇女保健科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妇女保健科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妇女保健科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妇女保健科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妇女保健科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AED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光电AED-3100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冷藏冰箱380升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海尔HYC-392型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H062鱼跃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互邦、HBG25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牵引床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牵引治疗椅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CR2001(680*420*920)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CR2001(680*420*920)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十二导联心电图机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SE-1200 Pro</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数字化门诊专用留观机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数字化门诊专用取号机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微清VS-PLUS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温针电针综合治疗仪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理邦IM60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移动输液架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跃进、IVS-II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移动输液架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跃进、IVS-II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移动输液架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跃进、IVS-II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移动输液架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跃进、IVS-II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2009-04-01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中医针灸按摩床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中医针灸按摩床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湖东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66</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儿童电脑评价仪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2010-08-31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儿童多功能体检床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空气压缩式雾化泵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十二导联心电图机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SE-1200 Pro</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推拿床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温针电针综合治疗仪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温针电针综合治疗仪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温针电针综合治疗仪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振荡器（西林瓶）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东吴医用WZR-D953A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湖西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湖西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29</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37度恒温水浴箱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跃进HSWS-600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电解质分析仪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买迪卡EasyLytePLUS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高压蒸汽灭菌器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新华LMQ.C-100E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高压蒸汽灭菌器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新华LMQ.C-100E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中科中佳SC-3616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中科中佳SC-3616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落地96孔离心机带脱盖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白洋/BY-L600型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酶标仪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雷杜RT-6100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美的(Midea)冰箱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190升双门小型家用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尿液分析系统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优利特URIT1280+URIT1600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普通加样枪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大龙Toppette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普通显微镜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奥林巴斯CX23LEDRFS1C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普通显微镜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奥林巴斯CX23LEDRFS1C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全自动生化仪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迈瑞BS-2000M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生物安全柜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博科BSC-1100ǁA2-X</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糖化血红蛋白仪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迈瑞H50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五分类血球仪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迈瑞BC-6800Plus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洗板机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雷杜RT-3900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细菌性阴道炎检测仪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丽拓LTS-V800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血凝仪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赛科希德SF8100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血气分析仪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检验科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检验科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儿童身高坐高体重秤（机械）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柜式药具发放机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DX04-S-4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计免儿保数字化门诊软件系统（留观机、取号机）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家庭医生巡诊包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冷藏冰箱380升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冷光单孔手术灯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微清VS-PLUS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心电图机（12导）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血糖仪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强生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血糖仪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强生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药用电子振荡器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青岛海尔HYC-391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医用冰箱（260L）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医用冰箱（390L）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医用冰箱（390L）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婴幼儿只能体检仪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2018.09.30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2007-08-01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景城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景城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经皮测黄疸仪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南理工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空气压缩式雾化泵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冷藏冰箱380升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海尔HYC-394型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CR2001(680*420*920)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数字化预防接种门诊取号机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PDJ220A-D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伟伦VS100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科技城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科技城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LED手术无影灯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迈瑞HyLED600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超声波震荡清洁机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科卫CLEAN-03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带光源放大镜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精工台式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低速弯机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ContraAngle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低速涡轮手机套装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西诺德Straight/ContraAngEe</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封口机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蓝野100型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高速涡轮手机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西诺德T4 Racer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根管机括马达（口腔马达预备机）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根管机括马达（口腔马达预备机）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根管机括马达（口腔马达预备机）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根管热牙胶充填机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卡瓦Elements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根管预备机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6080220E-xtreme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根管预备机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6080221E-xtreme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根管预备机-机头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小机头6036100E-xtreme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根管预备机-机头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小机头6036101E-xtreme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2025.08.01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根管长度测量仪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登士柏PROPEX日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根管长度测量仪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登士柏PROPEX日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根管长度测量仪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登士柏PROPEX日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光固化灯（八颗牙）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八颗牙CuringPen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光固化灯（八颗牙）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八颗牙CuringPen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光固化灯（八颗牙）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八颗牙CuringPen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护士椅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置安208-A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护士椅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置安208-A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洁牙手柄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E.M.S.Electro</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MedicalSystems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洁牙手柄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E.M.S.Electro</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MedicalSystems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洁牙手柄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E.M.S.Electro</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MedicalSystems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洁牙手柄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E.M.S.Electro</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MedicalSystems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净水系统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施格德DUWS-S4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净水系统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施格德DUWS-S4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净水系统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施格德DUWS-S4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净水系统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施格德DUWS-S4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净水系统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施格德DUWS-S4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净水系统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施格德DUWS-S4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江苏岱洛AT320/100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口腔负压抽吸机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江苏岱洛AT320/100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口腔颌面锥形束计算机体层摄影设备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卡瓦Kavo OP 3D Vision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口腔微型纯水机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新华XHKS-300G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2023.05.28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口腔种植器械基础套装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玛克瑞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口腔种植器械基础套装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玛克瑞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马达机括手柄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登士柏X-SMART16：1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喷砂手柄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EMS/AIR-FLOW MASTER（PIEZON）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喷砂手柄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EMS/AIR-FLOW MASTER（PIEZON）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气枪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精工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生物检测仪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新华KS-0301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手机注油机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卡瓦QUATTROcare PLUS</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2124A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水枪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精工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斯曼峰电动吸引器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YX932D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斯曼峰电动吸引器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YX932D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外科专用洗手池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润发(2人位）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无菌柜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无痛超声治疗仪（口腔牙周治疗器）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EMS/AIR-FLOW MASTER（PIEZON）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消毒炉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新华24L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牙科牙模机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科卫常用规格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牙科综合治疗椅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置安ZA208一A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牙科综合治疗椅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置安ZA208一A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牙科综合治疗椅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置安ZA208一A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牙科综合治疗椅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置安ZA208一A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牙科综合治疗椅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置安ZA208一A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牙科综合治疗椅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置安ZA208一A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牙片宝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卡瓦ALOPEX</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牙片机（口腔×射线机）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卡瓦FOCUS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仰角拔牙手机（45 度仰角高速涡轮拔</w:t>
            </w:r>
            <w:r>
              <w:rPr>
                <w:rFonts w:hint="eastAsia" w:asciiTheme="minorEastAsia" w:hAnsiTheme="minorEastAsia" w:eastAsiaTheme="minorEastAsia" w:cstheme="minorEastAsia"/>
                <w:i w:val="0"/>
                <w:iCs w:val="0"/>
                <w:color w:val="auto"/>
                <w:sz w:val="18"/>
                <w:szCs w:val="18"/>
                <w:highlight w:val="none"/>
                <w:u w:val="none"/>
                <w:lang w:val="en-US" w:eastAsia="zh-CN" w:bidi="ar"/>
              </w:rPr>
              <w:br/>
            </w: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NSK（Ti-Max ×450）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仰角拔牙手机牙手机）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西诺ADE-4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医用不锈钢无菌储物柜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欧鹏、op-BX004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医用干燥柜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精宏、DHG-9030A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医用清洗剂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蓝野Q5-32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蒸气灭菌器（45L）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新华Most-T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正畸专用相机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佳能EOS6DMarkII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种植机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卡瓦EXPERTsurg LUX</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种植手机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卡瓦昕动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种植手机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卡瓦昕动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口腔科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口腔科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181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红外线额温抢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华盛昌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红外线额温抢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华盛昌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颈椎牵引椅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日新YZ-02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空气压缩式雾化泵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冷光手术灯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数字化门诊专用留观机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数字化门诊专用取号机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微清VS-PLUS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洗衣机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海尔G1009928B12G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婴幼儿职能体检仪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智能分类存储小冰箱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智能分类存储小冰箱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智能分类存储小冰箱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智能医用疫苗冷藏箱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邻瑞</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邻瑞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牵引床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日新RXPC-500D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2009-11-30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十二导联心电图机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SE-1200 Pro</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温针电针综合治疗仪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2009-12-31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2009-12-31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2009-12-31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低频电子脉冲治疗仪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2020.12.09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玲珑湾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玲珑湾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安妮模型（不含小型显示屏）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QCPR 124-01650CN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2025.06.13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安妮模型（不含小型显示屏）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QCPR 124-01650CN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2025.06.13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H062鱼跃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H062鱼跃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H062鱼跃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H062鱼跃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门诊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超高清电子结肠镜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CF-H2902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2022.09.13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电子胃镜系统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奥林巴斯CV-290/CLV-290SL/LMD-2765/GIF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麻醉机（含麻醉监护）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GE Aelite NXT(B125)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内镜清洗工作站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杭州迈尔NQG-2000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酸性氧化电位水生成装置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圣太科SUNTECH-1000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碳13幽门螺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海得威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胃肠镜可移动检查床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胃肠镜可移动检查床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无菌柜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斯曼峰YX9320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移动平车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内镜室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内镜室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27</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便携式睡眠呼吸监测仪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神踪/PSM-R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成人体重秤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苏宏RCS-200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动态心电图仪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理邦SE2012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动态心电图仪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理邦SE2012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动态血压仪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理邦SA10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胰岛素泵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美敦力/MMT-1805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内科门诊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内科门诊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27</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BCD-537WDPR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2020.08.31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长虹美菱BCD-552WPC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2022.02.19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其他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鹅颈灯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戚墅堰QSFGD-1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高频电刀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沪通GD350-B5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手术床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外科专用洗手池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润发2人位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无菌柜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无影灯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迈瑞HyLED760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全科（外科）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全科（外科）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17</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便携式心电图机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理邦E-SE-301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病历车（有把手）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病历车（有把手）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病历车（有把手）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病历车（有把手）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晨间护理车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光电TBC-5600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电动气垫病床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易瑞康、EMB9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电动气垫病床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易瑞康、EMB9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美的MG100V11D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口服药发药车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立式红外线测温仪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携住科技U-CAM-CWB2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立式红外线测温仪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携住科技U-CAM-CWB2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立式红外线测温仪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携住科技U-CAM-CWB2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美的(Midea)冰箱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190升双门小型家用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全科诊疗设备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伟伦四合一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全科诊疗设备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伟伦四合一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东吴医用T2000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东吴医用T2000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东吴医用T2000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微量推注泵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微量推注泵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医用分子制氧机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大金医疗DN5JCL型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医用分子制氧机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大金医疗DN6JCL型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医用分子制氧机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大金医疗DN7JCL型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医用分子制氧机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大金医疗DN8JCL型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医用分子制氧机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大金医疗DN9JCL型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医用分子制氧机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大金医疗DN10JCL型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2023.01.17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振荡器（西林瓶）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东吴医用WZR-D954A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自动体外除颤仪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自动体外除颤仪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自动体外除颤仪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三病区（安宁疗护）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三病区（安宁疗护）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168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多参数监护模拟仪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全科医生GD/J115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多媒体人体针灸穴交互数字平台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全科医生GD/ST42M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多种心电图电脑模拟人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全科医生GD/ZXD190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高级电脑孕妇检查模型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全科医生GD/FW2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高级妇科训练模型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全科医生GD/F30P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高级护理人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全科医生GD/H120A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高级婴儿护理人模型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全科医生GD/FT13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高级直肠指诊检查模型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全科医生GD/LV39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高级智能训练模人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全科医生GD/H1200.100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高智能数字化成人综合急救模拟人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全科医生GD/ACLS8000C教师机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高智能数字网络化体格检查教学模拟人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全科医生GD/TCZ9900B（教师机）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观片灯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跃进GT-B  双屏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静脉输液手臂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全科医生GD/HS2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模拟心脏除颤仪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全科医生GD/J880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全功能护理训练模拟人（女性）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弘联GD/H120B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数字遥控式电脑腹部触诊模拟人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全科医生GD/Z980A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外科综合技能训练组合模型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全科医生GD/LV10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弘联GD/CPR10300-AED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婴儿心肺复苏模拟人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弘联GD/CPR10150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针刺训练模块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全科医生GD/00010H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针灸头部训练模型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全科医生GD/C00019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针灸臀部训练模型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全科医生GD/C00020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针灸训练手臂模型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全科医生GD/C00018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自动体外除颤仪(训练专用)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全科医生HeartSave AED Trainer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2023.04.28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实训基地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实训基地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33</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光电TBC-5600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吊塔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迈瑞HyPort  B30(双臂单柱)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诗烨单人位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负压吸引流量表（设备带）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登月DY-FYYL-F</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 BCD-190WDCO 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家用双门190升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急救床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空气压缩式雾化泵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德国PARIGmbH通用型PARI  TurboBOY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德国PARIGmbH通用型PARI  TurboBOY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德国PARIGmbH通用型PARI  TurboBOY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德国PARIGmbH通用型PARI  TurboBOY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八乐梦KK728E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全自动智能血压仪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脉搏波、RBP7000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麦科田SYS-6010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雅悠重力后仰款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东吴医用T2000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微量推注泵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麦科田SYS-50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斯曼峰YX9320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洗胃机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同业SC-II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氧流量表（设备带）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登月DY-A1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振荡器（西林瓶）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东吴医用WZR-D951A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2020.03.31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输液室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输液室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98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彩超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彩超检查床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直径80mm（远燕）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身高体重一体机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双佳SK-L06-B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医用全自动只能血压计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欧姆龙HBP-9030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体检中心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体检中心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16</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电脑验光及角膜曲率仪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CRK-8800P</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非接触眼压计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索维SW-5000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裂隙灯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Y25J（六六视觉）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裂隙灯显微镜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Y25J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2023.06.28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SLD-II  5米（跃进）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视力表灯箱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SLD-II  5米（跃进）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手持性眼底镜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六六YZ11D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眼底镜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KJ8B康捷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眼底照相机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索维SW-8800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眼用雾化机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执鼎Neptune-M01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验光镜片箱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266A型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验光镜片箱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华辉SPP232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医用不锈钢无菌储物柜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欧鹏、op-BX004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移动检查冷光源手术灯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汇丰、500S LED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眼科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19</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双向调剂台药盘架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兰桂定制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药房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药房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晨间护理车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一病区（康复病区）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电动气垫病床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易瑞康、EMB9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一病区（康复病区）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电动气垫病床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易瑞康、EMB9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一病区（康复病区）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滚筒洗衣机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美的MG100V11D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一病区（康复病区）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口服药发药车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一病区（康复病区）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一病区（康复病区）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动脉硬化检测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欧姆龙/HBP-8000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儿童肺功能检测仪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耶格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可调式OT桌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KD-OTZ康达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身高体重检测仪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欧姆龙/HNH-318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医用全自动血压计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欧姆龙/HBP-9030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医教科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医教科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7</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AED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光电AED-3100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SUA30001CH</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臂式血压计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鱼跃、YE900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臂式血压计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鱼跃、YE900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便捷式肺功能检测仪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X1(带定标桶)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便携式肺功能仪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超声骨密度仪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电脑验光仪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法里奥FR-710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动脉硬化检测仪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四川宇峰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额温枪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倍尔康JXB-178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儿童电脑评价仪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儿童电子身高体重秤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儿童骨密度检测仪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科进/OSTEOKJ7000+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2011-08-04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肺功能测试仪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安徽电子FGC-A+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柜式药具发放机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DX04-S-4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脊柱弯曲测量仪器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健升、ART-2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接种台小冰箱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德国PARIGmbH通用型PARI  TurboBOY</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髋关节超声机器（辅助装置）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足步欢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冷藏冰箱380升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海尔HYC-390型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互邦、HBG25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互邦、HBG25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全自动智能血压仪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脉搏波、RBP7000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三分类血液分析仪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2016-12-31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身高体重测量仪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领康、LK-T1016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数字化预防接种门诊系统（取号机、留观机）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伟伦VS100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美沃V100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听力筛查仪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麦力声MA01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斯曼峰YX9320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心电图机十二导联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理邦E-SE-1204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氧流量表（氧气瓶）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登月DY-C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液晶视力表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益视优K238AZ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液晶视力表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益视优K238AZ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液晶视力表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益视优K238AZ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液晶视力表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益视优K238AZ</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医用冰箱（360L)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医用冰箱（冷藏）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医用冷藏冰箱(50L接种台）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海尔、HYC-85GD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移动平车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康娃WS-RTG-1G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预防接种电子核签系统（硬件）（询问诊）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预防接种电子核签系统（硬件）（知情同意书）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自助体检机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GHC50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自助体检机健康管理系统（硬件）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盖睿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2022.08.13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预防保健科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预防保健科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94</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AED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光电AED-3100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2019.11.21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电子针疗仪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龙城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多功能监护仪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迈瑞EPM-10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儿童经皮测黄疸仪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南理工JH20-1BA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柜式药具发放机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DX04-S-4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红外线额温抢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华盛昌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2018.09.30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空气压缩式雾化泵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2013-12-20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冷藏箱（小）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数字化预防接种门诊信息系统（取号机、留观机）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美沃V100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小五分类全自动血液分析仪（核心产品）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迈克/F 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氧气流量表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氧气流量表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氧气流量表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海尔、HYC-310A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诊察床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华益ZXCII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月亮湾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月亮湾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孕产妇建卡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孕产妇建卡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12导同步心电图机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2017-08-24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儿童身高体重秤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冷光单孔手术灯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氧气流量表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2014-12-22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2011-12-05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2015-08-14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2017-10-31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2017-12-31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兆佳巷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OT综合训练工作台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康达KD-OTT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康达KD-PTD-01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PT训练床（钢制）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康达KD-PTC</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TDP神灯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神鸟CQ-BS8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UPS及配套电池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HT1106XL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艾灸床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1900*800*620mm（国产）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按摩床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便携式肺功能仪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不间断电源（UPS）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英威腾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彩色多普勒超声诊断仪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Affiniti70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超声骨密度仪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OSTEOKJ7000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超声检查床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南京五顷 WQ-J1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成人电子体重秤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苏宏RCS-200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飞利浦 Effcia DFM100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单人站立架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康达KD-ZLJ-01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电脑中频治疗仪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北京奔奥BA2008-III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动脉硬化检测仪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YF/XGYD-2000B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动态训练系统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钱璟O-MCB-03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额镜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直径80mm（远燕）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儿童升高体重秤（3-7）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武汉康娃WS-RT-2U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肺功能检测仪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FGC-A+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妇科检查床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康盛KSD8802G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个人剂量仪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FJ-2000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柜式药具发放机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DX04-S-4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2022.06.30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2018.09.30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红外线额温抢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华盛昌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红外线额温抢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华盛昌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红外线理疗灯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四川恒明HM/hw-L1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滑轮吊环训练器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康达KD-HLD-01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踝关节矫正板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康达KD-JZB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肩梯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康达KD-JTI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检眼镜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六六YZ6E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经皮黄疸测定仪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榉木20件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可调式砂磨板及附件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康达KD-SMB-01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欧姆龙NE-C28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欧姆龙NE-C28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空气压缩雾化泵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欧姆龙NE-C28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康达KD-LMU-01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冷藏冰箱380升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海尔HYC-393型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中科中佳SC-3612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立灯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汇丰YD01-I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裂隙灯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Y25J（六六视觉）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淋浴座椅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康达KD-LYY-02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轮式肩关节旋转运动器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康达KD-JXZ-02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鱼跃H062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轮椅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鱼跃H062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脉搏血氧饱和度仪器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PC-66B</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蒙台梭利夹珠子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FHR6006-11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尿常规检测仪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迪瑞MT-N600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平行杠及附件（可调、含矫正版）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康达KD-PXG-01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普通显微镜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牵引床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日新RXPC-500D</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全自动血压计（便携式）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欧姆龙U30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认知训练卡片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华瑞康复HR-RZKP-01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上下肢主被动训练器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泽普医疗ZEPU-K2000A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华佗TDP12-DL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华佗TDP12-DL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华佗TDP12-DL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华佗TDP12-DL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生物安全柜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鑫贝/BSC-1100II A2-X</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手功能组合训练箱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康达KD-SZX-01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数字化预防接种门诊系统（取号机、留观机）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双轮助行器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康达KD-ZHQ-03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双目视力筛查仪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微清VS-PLUS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双向训练阶梯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康达KD-FTI-01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胎心监护仪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理邦F6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体温表甩降器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爱林T2000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吸引器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斯曼峰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奥克斯BC-50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2021.06.04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心电图机（带蓄电池）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北京福田FX-8322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心电图机（带蓄电池）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北京福田FX-8322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血球仪（五分类）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迈瑞BC-6800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海尔HYC-410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中科美菱YC-395L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医用冷冻冰箱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中科美菱DW-YL270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2019.04.30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医用雾化器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音叉（听力检测）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128HZ、256HZ、512HZ（国产）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音叉（听力检测）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128HZ、256HZ、512HZ（国产）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婴幼儿智能体检仪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康娃WS-RTG-1G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幼儿智能体检仪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康娃、WS-RT-2U</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2025.03.25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语言能力评估训练卡片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康禾KH-YPK</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2020.02.29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预防接种电子核签系统（硬件）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2021.04.01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针灸床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诊查床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直接数字平板X线成像系统（DR）</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DuraDiagnost F30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2020.05.31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 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制氧机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大金 LiteTEC-5A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华佗牌SDZ-III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中医红外线治疗仪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恒明医疗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中远距离眼睛式助视器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璟亦诚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姿势矫正镜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康达KD-JZJ-01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上海跃进KXD-II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2019.09.26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申光ZXC-12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申光ZXC-13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自助体检机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盖瑞GHC50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2020.07.31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兆佳巷分中心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兆佳巷分中心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185</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心电图推车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2015-12-18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中医科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OT综合训练工作台（套）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KD-OTT（康达）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KD-PTD-01（康达）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KD-PTD-01（康达）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KD-PTD-01（康达）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电动起立床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KD-ZLC-01A康达）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滑轮吊环训练器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KD-HLD-01康达）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踝关节矫正板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KD-JZB康达）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肩梯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KD-JTI康达）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检前安全评估仪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宽乐 KM-BM100S</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颈腰椎牵引床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PXPC-5000（日新）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可调式砂磨板及附件（上肢活动和肌力）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KD-SMB-01康达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空气压力波治疗仪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HB920C（好博）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肋木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KD-LMU-01康达）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平行杠及附件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KD-PTI-01康达）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平行杠及附件（可调、含矫正板）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KD-PXG-01康达）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人体成分分析仪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华东原 DBA-210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上下肢主被动训练器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ZEPU-K2000A泽普）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上下肢主被动训练器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ZEPU-K2000A泽普）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上肢综合训练四件组合</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KD-GXQ-01（康达）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神经肌肉电刺激治疗仪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HB-SJ3（好博）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双轮助行器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KD-ZHQ-03康达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四角拐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KD-924康达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腋杖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KD-925L康达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腋杖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KD-925L康达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运动促进健康管理系统（硬件）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宽乐 V1.0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智能磁控车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智奇 HG-HRUG150T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智能跑步机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智奇 HG-HRTM185T</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2024.05.01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自动体外除颤仪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迈瑞C2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2022.12.01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中医科（康复科门诊）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中医科（康复科门诊）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28</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PT训练床（钢制）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KD-PTC（康达）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艾灸床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1900*800*620mm（国产）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电动PT床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KD-PTC-02（康达）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电脑中频治疗仪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BA2008-III（奔奥）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电针仪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SDZ-III（苏州医疗用品厂）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电子血压计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欧姆龙HEM-8720J</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多体位治疗床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B-DZC-01A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2022.10.26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护理车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颈椎牵引椅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日新YZ-02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空气消毒机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新华YKX.J-Y-600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抢救车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体外冲击波疼痛治疗仪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2018.11.30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移动紫外线消毒车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跃进ZXC-II(30W*2)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远红外治疗仪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HM-HM-L1（四川恒明）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诊疗床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润发YY103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治疗车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润发YB022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2023.02.28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中医按摩床（针灸、推拿）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YY104（润发）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2022.01.13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中医治疗设备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中药熏蒸机HB4000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2020.12.08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中医科（疼痛科）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中医科（疼痛科）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冷藏小冰箱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海尔BC-50EN</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2019.11.30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综合科其他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综合科其他 汇总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氧气瓶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40L</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2022.04.22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总务科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总务科 汇总</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w:t>
            </w:r>
            <w:r/>
          </w:p>
        </w:tc>
      </w:tr>
      <w:tr>
        <w:trPr>
          <w:trHeight w:val="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r>
      <w:tr>
        <w:trPr>
          <w:trHeight w:val="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r>
      <w:tr>
        <w:trPr>
          <w:trHeight w:val="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18"/>
                <w:szCs w:val="18"/>
                <w:highlight w:val="none"/>
                <w:u w:val="none"/>
              </w:rPr>
              <w:suppressLineNumbers w:val="0"/>
            </w:pPr>
            <w:r>
              <w:rPr>
                <w:rFonts w:hint="eastAsia" w:asciiTheme="minorEastAsia" w:hAnsiTheme="minorEastAsia" w:eastAsiaTheme="minorEastAsia" w:cstheme="minorEastAsia"/>
                <w:b/>
                <w:bCs/>
                <w:i w:val="0"/>
                <w:iCs w:val="0"/>
                <w:color w:val="auto"/>
                <w:sz w:val="18"/>
                <w:szCs w:val="18"/>
                <w:highlight w:val="none"/>
                <w:u w:val="none"/>
                <w:lang w:val="en-US" w:eastAsia="zh-CN" w:bidi="ar"/>
              </w:rPr>
              <w:t xml:space="preserve">总计</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right"/>
              <w:keepLines w:val="0"/>
              <w:keepNext w:val="0"/>
              <w:widowControl/>
              <w:rPr>
                <w:rFonts w:hint="eastAsia" w:asciiTheme="minorEastAsia" w:hAnsiTheme="minorEastAsia" w:eastAsiaTheme="minorEastAsia" w:cstheme="minorEastAsia"/>
                <w:i w:val="0"/>
                <w:iCs w:val="0"/>
                <w:color w:val="auto"/>
                <w:sz w:val="18"/>
                <w:szCs w:val="18"/>
                <w:highlight w:val="none"/>
                <w:u w:val="none"/>
              </w:rPr>
              <w:suppressLineNumbers w:val="0"/>
            </w:pPr>
            <w:r>
              <w:rPr>
                <w:rFonts w:hint="eastAsia" w:asciiTheme="minorEastAsia" w:hAnsiTheme="minorEastAsia" w:eastAsiaTheme="minorEastAsia" w:cstheme="minorEastAsia"/>
                <w:i w:val="0"/>
                <w:iCs w:val="0"/>
                <w:color w:val="auto"/>
                <w:sz w:val="18"/>
                <w:szCs w:val="18"/>
                <w:highlight w:val="none"/>
                <w:u w:val="none"/>
                <w:lang w:val="en-US" w:eastAsia="zh-CN" w:bidi="ar"/>
              </w:rPr>
              <w:t xml:space="preserve">1633</w:t>
            </w:r>
            <w:r/>
          </w:p>
        </w:tc>
      </w:tr>
    </w:tbl>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注：本项目维保设备包含但不限于以上设备清单。鉴于各部门近期若出现设备新增的情况，成交后供应商须与采购人再次核对设备清单，所有费用包含在本次报价中。同时</w:t>
      </w:r>
      <w:r>
        <w:rPr>
          <w:rFonts w:hint="eastAsia" w:ascii="宋体" w:hAnsi="宋体" w:eastAsia="宋体" w:cs="宋体"/>
          <w:b/>
          <w:bCs/>
          <w:color w:val="auto"/>
          <w:sz w:val="21"/>
          <w:szCs w:val="21"/>
          <w:highlight w:val="none"/>
          <w:lang w:val="en-US" w:eastAsia="zh-CN"/>
        </w:rPr>
        <w:t xml:space="preserve">合同期内，采购方新增（除CT、DR）医疗设备的运维服务也由成交方提供，采购人不再支付额外费用。</w:t>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42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73"/>
        <w:ind w:left="0" w:firstLine="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附件3:</w:t>
      </w:r>
      <w:r/>
    </w:p>
    <w:p>
      <w:pPr>
        <w:pStyle w:val="850"/>
        <w:ind w:firstLine="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医疗设备运维服务季度考核表</w:t>
      </w:r>
      <w:r/>
    </w:p>
    <w:tbl>
      <w:tblPr>
        <w:tblStyle w:val="667"/>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800"/>
        <w:gridCol w:w="2297"/>
        <w:gridCol w:w="1817"/>
        <w:gridCol w:w="2327"/>
        <w:gridCol w:w="1712"/>
      </w:tblGrid>
      <w:tr>
        <w:trPr>
          <w:jc w:val="center"/>
          <w:trHeight w:val="535"/>
        </w:trPr>
        <w:tc>
          <w:tcPr>
            <w:tcBorders>
              <w:top w:val="single" w:color="auto" w:sz="8" w:space="0"/>
              <w:left w:val="single" w:color="auto" w:sz="8"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采购方考核部门</w:t>
            </w:r>
            <w:r/>
          </w:p>
        </w:tc>
        <w:tc>
          <w:tcPr>
            <w:gridSpan w:val="4"/>
            <w:tcBorders>
              <w:top w:val="single" w:color="auto" w:sz="8" w:space="0"/>
              <w:left w:val="none" w:color="000000" w:sz="4" w:space="0"/>
              <w:bottom w:val="single" w:color="auto" w:sz="4" w:space="0"/>
              <w:right w:val="single" w:color="000000" w:sz="8" w:space="0"/>
            </w:tcBorders>
            <w:tcW w:w="4095"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385"/>
        </w:trPr>
        <w:tc>
          <w:tcPr>
            <w:tcBorders>
              <w:top w:val="single" w:color="auto" w:sz="4" w:space="0"/>
              <w:left w:val="single" w:color="auto" w:sz="8" w:space="0"/>
              <w:bottom w:val="single" w:color="auto" w:sz="4" w:space="0"/>
              <w:right w:val="single" w:color="auto" w:sz="4" w:space="0"/>
            </w:tcBorders>
            <w:tcW w:w="904" w:type="pct"/>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考核日期</w:t>
            </w:r>
            <w:r/>
          </w:p>
        </w:tc>
        <w:tc>
          <w:tcPr>
            <w:gridSpan w:val="4"/>
            <w:tcBorders>
              <w:top w:val="single" w:color="auto" w:sz="4" w:space="0"/>
              <w:left w:val="none" w:color="000000" w:sz="4" w:space="0"/>
              <w:bottom w:val="single" w:color="auto" w:sz="4" w:space="0"/>
              <w:right w:val="single" w:color="000000" w:sz="8" w:space="0"/>
            </w:tcBorders>
            <w:tcW w:w="4095"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年  月  日  至  年  月  日</w:t>
            </w:r>
            <w:r/>
          </w:p>
        </w:tc>
      </w:tr>
      <w:tr>
        <w:trPr>
          <w:jc w:val="center"/>
          <w:trHeight w:val="428"/>
        </w:trPr>
        <w:tc>
          <w:tcPr>
            <w:tcBorders>
              <w:top w:val="single" w:color="auto" w:sz="4" w:space="0"/>
              <w:left w:val="single" w:color="auto" w:sz="8"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考核大项</w:t>
            </w:r>
            <w:r/>
          </w:p>
        </w:tc>
        <w:tc>
          <w:tcPr>
            <w:tcBorders>
              <w:top w:val="single" w:color="auto" w:sz="4" w:space="0"/>
              <w:left w:val="none" w:color="000000" w:sz="4" w:space="0"/>
              <w:bottom w:val="single" w:color="auto" w:sz="4" w:space="0"/>
              <w:right w:val="single" w:color="auto"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项目分类</w:t>
            </w:r>
            <w:r/>
          </w:p>
        </w:tc>
        <w:tc>
          <w:tcPr>
            <w:tcBorders>
              <w:top w:val="single" w:color="auto" w:sz="4" w:space="0"/>
              <w:left w:val="none" w:color="000000" w:sz="4" w:space="0"/>
              <w:bottom w:val="single" w:color="auto" w:sz="4" w:space="0"/>
              <w:right w:val="single" w:color="auto"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评分权重</w:t>
            </w:r>
            <w:r/>
          </w:p>
        </w:tc>
        <w:tc>
          <w:tcPr>
            <w:tcBorders>
              <w:top w:val="single" w:color="auto" w:sz="4" w:space="0"/>
              <w:left w:val="none" w:color="000000" w:sz="4" w:space="0"/>
              <w:bottom w:val="single" w:color="auto" w:sz="4" w:space="0"/>
              <w:right w:val="single" w:color="auto"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考核得分</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备注</w:t>
            </w:r>
            <w:r/>
          </w:p>
        </w:tc>
      </w:tr>
      <w:tr>
        <w:trPr>
          <w:jc w:val="center"/>
          <w:trHeight w:val="615"/>
        </w:trPr>
        <w:tc>
          <w:tcPr>
            <w:tcBorders>
              <w:top w:val="single" w:color="auto" w:sz="4" w:space="0"/>
              <w:left w:val="single" w:color="auto" w:sz="8" w:space="0"/>
              <w:right w:val="single" w:color="000000" w:sz="4" w:space="0"/>
            </w:tcBorders>
            <w:tcW w:w="904" w:type="pct"/>
            <w:vAlign w:val="center"/>
            <w:vMerge w:val="restart"/>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基本情况</w:t>
            </w:r>
            <w:r/>
          </w:p>
        </w:tc>
        <w:tc>
          <w:tcPr>
            <w:tcBorders>
              <w:top w:val="single" w:color="auto" w:sz="4" w:space="0"/>
              <w:left w:val="none" w:color="000000" w:sz="4" w:space="0"/>
              <w:bottom w:val="single" w:color="auto"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服务态度</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630"/>
        </w:trPr>
        <w:tc>
          <w:tcPr>
            <w:tcBorders>
              <w:left w:val="single" w:color="auto" w:sz="8" w:space="0"/>
              <w:right w:val="single" w:color="000000" w:sz="4" w:space="0"/>
            </w:tcBorders>
            <w:tcW w:w="904" w:type="pct"/>
            <w:vAlign w:val="center"/>
            <w:vMerge w:val="continue"/>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服务响应时间</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630"/>
        </w:trPr>
        <w:tc>
          <w:tcPr>
            <w:tcBorders>
              <w:left w:val="single" w:color="auto" w:sz="8" w:space="0"/>
              <w:bottom w:val="single" w:color="000000" w:sz="4" w:space="0"/>
              <w:right w:val="single" w:color="000000" w:sz="4" w:space="0"/>
            </w:tcBorders>
            <w:tcW w:w="904" w:type="pct"/>
            <w:vAlign w:val="center"/>
            <w:vMerge w:val="continue"/>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bidi="ar"/>
              </w:rPr>
              <w:t xml:space="preserve">沟通</w:t>
            </w:r>
            <w:r>
              <w:rPr>
                <w:rFonts w:hint="eastAsia" w:asciiTheme="minorEastAsia" w:hAnsiTheme="minorEastAsia" w:eastAsiaTheme="minorEastAsia" w:cstheme="minorEastAsia"/>
                <w:color w:val="auto"/>
                <w:sz w:val="21"/>
                <w:szCs w:val="21"/>
                <w:highlight w:val="none"/>
                <w:lang w:val="en-US" w:eastAsia="zh-CN" w:bidi="ar"/>
              </w:rPr>
              <w:t xml:space="preserve">效率</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8分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r>
      <w:tr>
        <w:trPr>
          <w:jc w:val="center"/>
          <w:trHeight w:val="540"/>
        </w:trPr>
        <w:tc>
          <w:tcPr>
            <w:tcBorders>
              <w:top w:val="single" w:color="auto" w:sz="4" w:space="0"/>
              <w:left w:val="single" w:color="auto" w:sz="8" w:space="0"/>
              <w:bottom w:val="single" w:color="auto" w:sz="4" w:space="0"/>
              <w:right w:val="single" w:color="auto" w:sz="4" w:space="0"/>
            </w:tcBorders>
            <w:tcW w:w="904" w:type="pct"/>
            <w:vAlign w:val="center"/>
            <w:vMerge w:val="restart"/>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设备巡检</w:t>
            </w:r>
            <w:r/>
          </w:p>
        </w:tc>
        <w:tc>
          <w:tcPr>
            <w:tcBorders>
              <w:top w:val="single" w:color="auto" w:sz="4" w:space="0"/>
              <w:left w:val="none" w:color="000000" w:sz="4" w:space="0"/>
              <w:bottom w:val="none" w:color="000000"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覆盖率</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none" w:color="000000"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540"/>
        </w:trPr>
        <w:tc>
          <w:tcPr>
            <w:tcBorders>
              <w:top w:val="single" w:color="auto" w:sz="4" w:space="0"/>
              <w:left w:val="single" w:color="auto" w:sz="8" w:space="0"/>
              <w:bottom w:val="single" w:color="auto" w:sz="4" w:space="0"/>
              <w:right w:val="single" w:color="auto" w:sz="4" w:space="0"/>
            </w:tcBorders>
            <w:tcW w:w="904" w:type="pct"/>
            <w:vAlign w:val="center"/>
            <w:vMerge w:val="continue"/>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none" w:color="000000"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时效性</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none" w:color="000000"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540"/>
        </w:trPr>
        <w:tc>
          <w:tcPr>
            <w:tcBorders>
              <w:top w:val="none" w:color="000000" w:sz="4" w:space="0"/>
              <w:left w:val="single" w:color="auto" w:sz="8" w:space="0"/>
              <w:bottom w:val="single" w:color="000000" w:sz="4" w:space="0"/>
              <w:right w:val="single" w:color="000000" w:sz="4" w:space="0"/>
            </w:tcBorders>
            <w:tcW w:w="904" w:type="pct"/>
            <w:vAlign w:val="center"/>
            <w:vMerge w:val="restart"/>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设备维修</w:t>
            </w:r>
            <w:r/>
          </w:p>
        </w:tc>
        <w:tc>
          <w:tcPr>
            <w:tcBorders>
              <w:top w:val="single" w:color="auto" w:sz="4" w:space="0"/>
              <w:left w:val="none" w:color="000000" w:sz="4" w:space="0"/>
              <w:bottom w:val="none" w:color="000000"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维修时长</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none" w:color="000000"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540"/>
        </w:trPr>
        <w:tc>
          <w:tcPr>
            <w:tcBorders>
              <w:top w:val="none" w:color="000000" w:sz="4" w:space="0"/>
              <w:left w:val="single" w:color="auto" w:sz="8" w:space="0"/>
              <w:bottom w:val="single" w:color="000000" w:sz="4" w:space="0"/>
              <w:right w:val="single" w:color="000000" w:sz="4" w:space="0"/>
            </w:tcBorders>
            <w:tcW w:w="904" w:type="pct"/>
            <w:vAlign w:val="center"/>
            <w:vMerge w:val="continue"/>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none" w:color="000000"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复修率</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none" w:color="000000"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615"/>
        </w:trPr>
        <w:tc>
          <w:tcPr>
            <w:tcBorders>
              <w:top w:val="none" w:color="000000" w:sz="4" w:space="0"/>
              <w:left w:val="single" w:color="auto" w:sz="8" w:space="0"/>
              <w:bottom w:val="single" w:color="000000" w:sz="4" w:space="0"/>
              <w:right w:val="single" w:color="000000" w:sz="4" w:space="0"/>
            </w:tcBorders>
            <w:tcW w:w="904" w:type="pct"/>
            <w:vAlign w:val="center"/>
            <w:vMerge w:val="continue"/>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维修后使用情况</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6分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570"/>
        </w:trPr>
        <w:tc>
          <w:tcPr>
            <w:tcBorders>
              <w:top w:val="single" w:color="auto" w:sz="4" w:space="0"/>
              <w:left w:val="single" w:color="auto" w:sz="8" w:space="0"/>
              <w:bottom w:val="single" w:color="auto" w:sz="4" w:space="0"/>
              <w:right w:val="single" w:color="auto" w:sz="4" w:space="0"/>
            </w:tcBorders>
            <w:tcW w:w="904" w:type="pct"/>
            <w:vAlign w:val="center"/>
            <w:vMerge w:val="restart"/>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设备保养</w:t>
            </w:r>
            <w:r/>
          </w:p>
        </w:tc>
        <w:tc>
          <w:tcPr>
            <w:tcBorders>
              <w:top w:val="single" w:color="auto" w:sz="4" w:space="0"/>
              <w:left w:val="none" w:color="000000" w:sz="4" w:space="0"/>
              <w:bottom w:val="single" w:color="auto" w:sz="4" w:space="0"/>
              <w:right w:val="single" w:color="auto"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覆盖率</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570"/>
        </w:trPr>
        <w:tc>
          <w:tcPr>
            <w:tcBorders>
              <w:top w:val="single" w:color="auto" w:sz="4" w:space="0"/>
              <w:left w:val="single" w:color="auto" w:sz="8" w:space="0"/>
              <w:bottom w:val="single" w:color="auto" w:sz="4" w:space="0"/>
              <w:right w:val="single" w:color="auto" w:sz="4" w:space="0"/>
            </w:tcBorders>
            <w:tcW w:w="904" w:type="pct"/>
            <w:vAlign w:val="center"/>
            <w:vMerge w:val="continue"/>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auto"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时效性</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570"/>
        </w:trPr>
        <w:tc>
          <w:tcPr>
            <w:tcBorders>
              <w:top w:val="single" w:color="auto" w:sz="4" w:space="0"/>
              <w:left w:val="single" w:color="auto" w:sz="8" w:space="0"/>
              <w:bottom w:val="single" w:color="auto" w:sz="4" w:space="0"/>
              <w:right w:val="single" w:color="auto" w:sz="4" w:space="0"/>
            </w:tcBorders>
            <w:tcW w:w="90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台账支持</w:t>
            </w:r>
            <w:r/>
          </w:p>
        </w:tc>
        <w:tc>
          <w:tcPr>
            <w:tcBorders>
              <w:top w:val="single" w:color="auto" w:sz="4" w:space="0"/>
              <w:left w:val="none" w:color="000000" w:sz="4" w:space="0"/>
              <w:bottom w:val="single" w:color="auto" w:sz="4" w:space="0"/>
              <w:right w:val="single" w:color="auto" w:sz="4" w:space="0"/>
            </w:tcBorders>
            <w:tcW w:w="1154"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各项记录、签字</w:t>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val="en-US" w:eastAsia="zh-CN" w:bidi="ar"/>
              </w:rPr>
              <w:t xml:space="preserve">6</w:t>
            </w:r>
            <w:r>
              <w:rPr>
                <w:rFonts w:hint="eastAsia" w:asciiTheme="minorEastAsia" w:hAnsiTheme="minorEastAsia" w:eastAsiaTheme="minorEastAsia" w:cstheme="minorEastAsia"/>
                <w:color w:val="auto"/>
                <w:sz w:val="21"/>
                <w:szCs w:val="21"/>
                <w:highlight w:val="none"/>
                <w:lang w:bidi="ar"/>
              </w:rPr>
              <w:t xml:space="preserve">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r>
      <w:tr>
        <w:trPr>
          <w:jc w:val="center"/>
          <w:trHeight w:val="752"/>
        </w:trPr>
        <w:tc>
          <w:tcPr>
            <w:tcBorders>
              <w:top w:val="none" w:color="000000" w:sz="4" w:space="0"/>
              <w:left w:val="single" w:color="auto" w:sz="8" w:space="0"/>
              <w:bottom w:val="single" w:color="auto" w:sz="4" w:space="0"/>
              <w:right w:val="single" w:color="000000" w:sz="4" w:space="0"/>
            </w:tcBorders>
            <w:tcW w:w="904" w:type="pct"/>
            <w:vAlign w:val="center"/>
            <w:textDirection w:val="lrTb"/>
            <w:noWrap w:val="false"/>
          </w:tcPr>
          <w:p>
            <w:pPr>
              <w:ind w:left="0"/>
              <w:jc w:val="center"/>
              <w:spacing w:line="192" w:lineRule="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总分</w:t>
            </w:r>
            <w:r/>
          </w:p>
        </w:tc>
        <w:tc>
          <w:tcPr>
            <w:tcBorders>
              <w:top w:val="single" w:color="auto" w:sz="4" w:space="0"/>
              <w:left w:val="none" w:color="000000" w:sz="4" w:space="0"/>
              <w:bottom w:val="single" w:color="auto" w:sz="4" w:space="0"/>
              <w:right w:val="single" w:color="000000" w:sz="4" w:space="0"/>
            </w:tcBorders>
            <w:tcW w:w="1154" w:type="pct"/>
            <w:vAlign w:val="center"/>
            <w:textDirection w:val="lrTb"/>
            <w:noWrap w:val="false"/>
          </w:tcPr>
          <w:p>
            <w:pPr>
              <w:ind w:left="0"/>
              <w:jc w:val="center"/>
              <w:spacing w:line="192" w:lineRule="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c>
          <w:tcPr>
            <w:tcBorders>
              <w:top w:val="single" w:color="auto" w:sz="4" w:space="0"/>
              <w:left w:val="none" w:color="000000" w:sz="4" w:space="0"/>
              <w:bottom w:val="single" w:color="auto" w:sz="4" w:space="0"/>
              <w:right w:val="single" w:color="000000" w:sz="4" w:space="0"/>
            </w:tcBorders>
            <w:tcW w:w="913" w:type="pct"/>
            <w:vAlign w:val="center"/>
            <w:textDirection w:val="lrTb"/>
            <w:noWrap w:val="false"/>
          </w:tcPr>
          <w:p>
            <w:pPr>
              <w:ind w:left="0"/>
              <w:jc w:val="center"/>
              <w:spacing w:line="192" w:lineRule="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100分</w:t>
            </w:r>
            <w:r/>
          </w:p>
        </w:tc>
        <w:tc>
          <w:tcPr>
            <w:tcBorders>
              <w:top w:val="single" w:color="auto" w:sz="4" w:space="0"/>
              <w:left w:val="none" w:color="000000" w:sz="4" w:space="0"/>
              <w:bottom w:val="single" w:color="auto" w:sz="4" w:space="0"/>
              <w:right w:val="single" w:color="000000" w:sz="4" w:space="0"/>
            </w:tcBorders>
            <w:tcW w:w="1169" w:type="pct"/>
            <w:vAlign w:val="center"/>
            <w:textDirection w:val="lrTb"/>
            <w:noWrap w:val="false"/>
          </w:tcPr>
          <w:p>
            <w:pPr>
              <w:ind w:left="0"/>
              <w:jc w:val="center"/>
              <w:spacing w:line="192" w:lineRule="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c>
          <w:tcPr>
            <w:tcBorders>
              <w:top w:val="single" w:color="auto" w:sz="4" w:space="0"/>
              <w:left w:val="none" w:color="000000" w:sz="4" w:space="0"/>
              <w:bottom w:val="single" w:color="auto" w:sz="4" w:space="0"/>
              <w:right w:val="single" w:color="000000" w:sz="8" w:space="0"/>
            </w:tcBorders>
            <w:tcW w:w="858" w:type="pct"/>
            <w:vAlign w:val="center"/>
            <w:textDirection w:val="lrTb"/>
            <w:noWrap w:val="false"/>
          </w:tcPr>
          <w:p>
            <w:pPr>
              <w:ind w:left="0"/>
              <w:jc w:val="center"/>
              <w:spacing w:line="192" w:lineRule="auto"/>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w:t>
            </w:r>
            <w:r/>
          </w:p>
        </w:tc>
      </w:tr>
      <w:tr>
        <w:trPr>
          <w:jc w:val="center"/>
          <w:trHeight w:val="1269"/>
        </w:trPr>
        <w:tc>
          <w:tcPr>
            <w:gridSpan w:val="5"/>
            <w:tcBorders>
              <w:top w:val="single" w:color="auto" w:sz="4" w:space="0"/>
              <w:left w:val="single" w:color="auto" w:sz="8" w:space="0"/>
              <w:bottom w:val="single" w:color="auto" w:sz="4" w:space="0"/>
              <w:right w:val="single" w:color="000000" w:sz="8" w:space="0"/>
            </w:tcBorders>
            <w:tcW w:w="5000" w:type="pct"/>
            <w:vAlign w:val="center"/>
            <w:textDirection w:val="lrTb"/>
            <w:noWrap w:val="false"/>
          </w:tcPr>
          <w:p>
            <w:pPr>
              <w:ind w:left="0"/>
              <w:jc w:val="left"/>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其他建议事项：（任何一项扣除2分及以上者，请简述）</w:t>
            </w:r>
            <w:r/>
          </w:p>
          <w:p>
            <w:pPr>
              <w:ind w:left="0"/>
              <w:jc w:val="left"/>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r>
            <w:r/>
          </w:p>
        </w:tc>
      </w:tr>
      <w:tr>
        <w:trPr>
          <w:jc w:val="center"/>
          <w:trHeight w:val="814"/>
        </w:trPr>
        <w:tc>
          <w:tcPr>
            <w:gridSpan w:val="5"/>
            <w:tcBorders>
              <w:top w:val="single" w:color="auto" w:sz="4" w:space="0"/>
              <w:left w:val="single" w:color="auto" w:sz="8" w:space="0"/>
              <w:bottom w:val="single" w:color="auto" w:sz="4" w:space="0"/>
              <w:right w:val="single" w:color="000000" w:sz="8" w:space="0"/>
            </w:tcBorders>
            <w:tcW w:w="5000" w:type="pct"/>
            <w:vAlign w:val="center"/>
            <w:textDirection w:val="lrTb"/>
            <w:noWrap w:val="false"/>
          </w:tcPr>
          <w:p>
            <w:pPr>
              <w:ind w:left="0"/>
              <w:jc w:val="left"/>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考核人签字：              日 期：  </w:t>
            </w:r>
            <w:r/>
          </w:p>
          <w:p>
            <w:pPr>
              <w:ind w:left="0"/>
              <w:jc w:val="left"/>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                                           被考核人签字：            日 期：  </w:t>
            </w:r>
            <w:r/>
          </w:p>
        </w:tc>
      </w:tr>
    </w:tbl>
    <w:p>
      <w:pPr>
        <w:pStyle w:val="681"/>
        <w:ind w:left="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jc w:val="lef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注：项目考核总分</w:t>
      </w:r>
      <w:r>
        <w:rPr>
          <w:rFonts w:hint="eastAsia" w:asciiTheme="minorEastAsia" w:hAnsiTheme="minorEastAsia" w:eastAsiaTheme="minorEastAsia" w:cstheme="minorEastAsia"/>
          <w:b/>
          <w:bCs/>
          <w:color w:val="auto"/>
          <w:sz w:val="21"/>
          <w:szCs w:val="21"/>
          <w:highlight w:val="none"/>
          <w:lang w:val="en-US" w:eastAsia="zh-CN"/>
        </w:rPr>
        <w:t xml:space="preserve">为</w:t>
      </w:r>
      <w:r>
        <w:rPr>
          <w:rFonts w:hint="eastAsia" w:asciiTheme="minorEastAsia" w:hAnsiTheme="minorEastAsia" w:eastAsiaTheme="minorEastAsia" w:cstheme="minorEastAsia"/>
          <w:b/>
          <w:bCs/>
          <w:color w:val="auto"/>
          <w:sz w:val="21"/>
          <w:szCs w:val="21"/>
          <w:highlight w:val="none"/>
        </w:rPr>
        <w:t xml:space="preserve">100分</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甲方</w:t>
      </w:r>
      <w:r>
        <w:rPr>
          <w:rFonts w:hint="eastAsia" w:asciiTheme="minorEastAsia" w:hAnsiTheme="minorEastAsia" w:eastAsiaTheme="minorEastAsia" w:cstheme="minorEastAsia"/>
          <w:b/>
          <w:bCs/>
          <w:color w:val="auto"/>
          <w:sz w:val="21"/>
          <w:szCs w:val="21"/>
          <w:highlight w:val="none"/>
        </w:rPr>
        <w:t xml:space="preserve">每季度考核一次，</w:t>
      </w:r>
      <w:r>
        <w:rPr>
          <w:rFonts w:hint="eastAsia" w:asciiTheme="minorEastAsia" w:hAnsiTheme="minorEastAsia" w:eastAsiaTheme="minorEastAsia" w:cstheme="minorEastAsia"/>
          <w:b/>
          <w:bCs/>
          <w:color w:val="auto"/>
          <w:sz w:val="21"/>
          <w:szCs w:val="21"/>
          <w:highlight w:val="none"/>
          <w:lang w:val="en-US" w:eastAsia="zh-CN"/>
        </w:rPr>
        <w:t xml:space="preserve">若</w:t>
      </w:r>
      <w:r>
        <w:rPr>
          <w:rFonts w:hint="eastAsia" w:asciiTheme="minorEastAsia" w:hAnsiTheme="minorEastAsia" w:eastAsiaTheme="minorEastAsia" w:cstheme="minorEastAsia"/>
          <w:b/>
          <w:bCs/>
          <w:color w:val="auto"/>
          <w:sz w:val="21"/>
          <w:szCs w:val="21"/>
          <w:highlight w:val="none"/>
        </w:rPr>
        <w:t xml:space="preserve">考核分数≥90分，</w:t>
      </w:r>
      <w:r>
        <w:rPr>
          <w:rFonts w:hint="eastAsia" w:asciiTheme="minorEastAsia" w:hAnsiTheme="minorEastAsia" w:eastAsiaTheme="minorEastAsia" w:cstheme="minorEastAsia"/>
          <w:b/>
          <w:bCs/>
          <w:color w:val="auto"/>
          <w:sz w:val="21"/>
          <w:szCs w:val="21"/>
          <w:highlight w:val="none"/>
          <w:lang w:val="en-US" w:eastAsia="zh-CN"/>
        </w:rPr>
        <w:t xml:space="preserve">甲方</w:t>
      </w:r>
      <w:r>
        <w:rPr>
          <w:rFonts w:hint="eastAsia" w:asciiTheme="minorEastAsia" w:hAnsiTheme="minorEastAsia" w:eastAsiaTheme="minorEastAsia" w:cstheme="minorEastAsia"/>
          <w:b/>
          <w:bCs/>
          <w:color w:val="auto"/>
          <w:sz w:val="21"/>
          <w:szCs w:val="21"/>
          <w:highlight w:val="none"/>
        </w:rPr>
        <w:t xml:space="preserve">足额支付当季度服务费；</w:t>
      </w:r>
      <w:r>
        <w:rPr>
          <w:rFonts w:hint="eastAsia" w:asciiTheme="minorEastAsia" w:hAnsiTheme="minorEastAsia" w:eastAsiaTheme="minorEastAsia" w:cstheme="minorEastAsia"/>
          <w:b/>
          <w:bCs/>
          <w:color w:val="auto"/>
          <w:sz w:val="21"/>
          <w:szCs w:val="21"/>
          <w:highlight w:val="none"/>
          <w:lang w:val="en-US" w:eastAsia="zh-CN"/>
        </w:rPr>
        <w:t xml:space="preserve">若</w:t>
      </w:r>
      <w:r>
        <w:rPr>
          <w:rFonts w:hint="eastAsia" w:asciiTheme="minorEastAsia" w:hAnsiTheme="minorEastAsia" w:eastAsiaTheme="minorEastAsia" w:cstheme="minorEastAsia"/>
          <w:b/>
          <w:bCs/>
          <w:color w:val="auto"/>
          <w:sz w:val="21"/>
          <w:szCs w:val="21"/>
          <w:highlight w:val="none"/>
        </w:rPr>
        <w:t xml:space="preserve">90分＞考核分数≥80分的，</w:t>
      </w:r>
      <w:r>
        <w:rPr>
          <w:rFonts w:hint="eastAsia" w:asciiTheme="minorEastAsia" w:hAnsiTheme="minorEastAsia" w:eastAsiaTheme="minorEastAsia" w:cstheme="minorEastAsia"/>
          <w:b/>
          <w:bCs/>
          <w:color w:val="auto"/>
          <w:sz w:val="21"/>
          <w:szCs w:val="21"/>
          <w:highlight w:val="none"/>
          <w:lang w:val="en-US" w:eastAsia="zh-CN"/>
        </w:rPr>
        <w:t xml:space="preserve">甲方</w:t>
      </w:r>
      <w:r>
        <w:rPr>
          <w:rFonts w:hint="eastAsia" w:asciiTheme="minorEastAsia" w:hAnsiTheme="minorEastAsia" w:eastAsiaTheme="minorEastAsia" w:cstheme="minorEastAsia"/>
          <w:b/>
          <w:bCs/>
          <w:color w:val="auto"/>
          <w:sz w:val="21"/>
          <w:szCs w:val="21"/>
          <w:highlight w:val="none"/>
        </w:rPr>
        <w:t xml:space="preserve">扣除当季度服务费的1%；</w:t>
      </w:r>
      <w:r>
        <w:rPr>
          <w:rFonts w:hint="eastAsia" w:asciiTheme="minorEastAsia" w:hAnsiTheme="minorEastAsia" w:eastAsiaTheme="minorEastAsia" w:cstheme="minorEastAsia"/>
          <w:b/>
          <w:bCs/>
          <w:color w:val="auto"/>
          <w:sz w:val="21"/>
          <w:szCs w:val="21"/>
          <w:highlight w:val="none"/>
          <w:lang w:val="en-US" w:eastAsia="zh-CN"/>
        </w:rPr>
        <w:t xml:space="preserve">若</w:t>
      </w:r>
      <w:r>
        <w:rPr>
          <w:rFonts w:hint="eastAsia" w:asciiTheme="minorEastAsia" w:hAnsiTheme="minorEastAsia" w:eastAsiaTheme="minorEastAsia" w:cstheme="minorEastAsia"/>
          <w:b/>
          <w:bCs/>
          <w:color w:val="auto"/>
          <w:sz w:val="21"/>
          <w:szCs w:val="21"/>
          <w:highlight w:val="none"/>
        </w:rPr>
        <w:t xml:space="preserve">80分＞考核分数≥</w:t>
      </w:r>
      <w:r>
        <w:rPr>
          <w:rFonts w:hint="eastAsia" w:asciiTheme="minorEastAsia" w:hAnsiTheme="minorEastAsia" w:eastAsiaTheme="minorEastAsia" w:cstheme="minorEastAsia"/>
          <w:b/>
          <w:bCs/>
          <w:color w:val="auto"/>
          <w:sz w:val="21"/>
          <w:szCs w:val="21"/>
          <w:highlight w:val="none"/>
          <w:lang w:val="en-US" w:eastAsia="zh-CN"/>
        </w:rPr>
        <w:t xml:space="preserve">70</w:t>
      </w:r>
      <w:r>
        <w:rPr>
          <w:rFonts w:hint="eastAsia" w:asciiTheme="minorEastAsia" w:hAnsiTheme="minorEastAsia" w:eastAsiaTheme="minorEastAsia" w:cstheme="minorEastAsia"/>
          <w:b/>
          <w:bCs/>
          <w:color w:val="auto"/>
          <w:sz w:val="21"/>
          <w:szCs w:val="21"/>
          <w:highlight w:val="none"/>
        </w:rPr>
        <w:t xml:space="preserve">分的，扣除当季度服务费的3%</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若考核分数</w:t>
      </w:r>
      <w:r>
        <w:rPr>
          <w:rFonts w:hint="eastAsia" w:asciiTheme="minorEastAsia" w:hAnsiTheme="minorEastAsia" w:eastAsiaTheme="minorEastAsia" w:cstheme="minorEastAsia"/>
          <w:b/>
          <w:bCs/>
          <w:color w:val="auto"/>
          <w:sz w:val="21"/>
          <w:szCs w:val="21"/>
          <w:highlight w:val="none"/>
        </w:rPr>
        <w:t xml:space="preserve">低于</w:t>
      </w:r>
      <w:r>
        <w:rPr>
          <w:rFonts w:hint="eastAsia" w:asciiTheme="minorEastAsia" w:hAnsiTheme="minorEastAsia" w:eastAsiaTheme="minorEastAsia" w:cstheme="minorEastAsia"/>
          <w:b/>
          <w:bCs/>
          <w:color w:val="auto"/>
          <w:sz w:val="21"/>
          <w:szCs w:val="21"/>
          <w:highlight w:val="none"/>
          <w:lang w:val="en-US" w:eastAsia="zh-CN"/>
        </w:rPr>
        <w:t xml:space="preserve">70</w:t>
      </w:r>
      <w:r>
        <w:rPr>
          <w:rFonts w:hint="eastAsia" w:asciiTheme="minorEastAsia" w:hAnsiTheme="minorEastAsia" w:eastAsiaTheme="minorEastAsia" w:cstheme="minorEastAsia"/>
          <w:b/>
          <w:bCs/>
          <w:color w:val="auto"/>
          <w:sz w:val="21"/>
          <w:szCs w:val="21"/>
          <w:highlight w:val="none"/>
        </w:rPr>
        <w:t xml:space="preserve">分</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甲方</w:t>
      </w:r>
      <w:r>
        <w:rPr>
          <w:rFonts w:hint="eastAsia" w:asciiTheme="minorEastAsia" w:hAnsiTheme="minorEastAsia" w:eastAsiaTheme="minorEastAsia" w:cstheme="minorEastAsia"/>
          <w:b/>
          <w:bCs/>
          <w:color w:val="auto"/>
          <w:sz w:val="21"/>
          <w:szCs w:val="21"/>
          <w:highlight w:val="none"/>
        </w:rPr>
        <w:t xml:space="preserve">有权</w:t>
      </w:r>
      <w:r>
        <w:rPr>
          <w:rFonts w:hint="eastAsia" w:asciiTheme="minorEastAsia" w:hAnsiTheme="minorEastAsia" w:eastAsiaTheme="minorEastAsia" w:cstheme="minorEastAsia"/>
          <w:b/>
          <w:bCs/>
          <w:color w:val="auto"/>
          <w:sz w:val="21"/>
          <w:szCs w:val="21"/>
          <w:highlight w:val="none"/>
          <w:lang w:val="en-US" w:eastAsia="zh-CN"/>
        </w:rPr>
        <w:t xml:space="preserve">拒绝支付该季度费用并单方面</w:t>
      </w:r>
      <w:r>
        <w:rPr>
          <w:rFonts w:hint="eastAsia" w:asciiTheme="minorEastAsia" w:hAnsiTheme="minorEastAsia" w:eastAsiaTheme="minorEastAsia" w:cstheme="minorEastAsia"/>
          <w:b/>
          <w:bCs/>
          <w:color w:val="auto"/>
          <w:sz w:val="21"/>
          <w:szCs w:val="21"/>
          <w:highlight w:val="none"/>
        </w:rPr>
        <w:t xml:space="preserve">终止</w:t>
      </w:r>
      <w:r>
        <w:rPr>
          <w:rFonts w:hint="eastAsia" w:asciiTheme="minorEastAsia" w:hAnsiTheme="minorEastAsia" w:eastAsiaTheme="minorEastAsia" w:cstheme="minorEastAsia"/>
          <w:b/>
          <w:bCs/>
          <w:color w:val="auto"/>
          <w:sz w:val="21"/>
          <w:szCs w:val="21"/>
          <w:highlight w:val="none"/>
          <w:lang w:val="en-US" w:eastAsia="zh-CN"/>
        </w:rPr>
        <w:t xml:space="preserve">采购</w:t>
      </w:r>
      <w:r>
        <w:rPr>
          <w:rFonts w:hint="eastAsia" w:asciiTheme="minorEastAsia" w:hAnsiTheme="minorEastAsia" w:eastAsiaTheme="minorEastAsia" w:cstheme="minorEastAsia"/>
          <w:b/>
          <w:bCs/>
          <w:color w:val="auto"/>
          <w:sz w:val="21"/>
          <w:szCs w:val="21"/>
          <w:highlight w:val="none"/>
        </w:rPr>
        <w:t xml:space="preserve">合同。</w:t>
      </w:r>
      <w:r/>
    </w:p>
    <w:p>
      <w:pPr>
        <w:pStyle w:val="673"/>
        <w:ind w:left="0" w:firstLine="0"/>
        <w:spacing w:line="360" w:lineRule="auto"/>
        <w:rPr>
          <w:rFonts w:hint="default" w:ascii="宋体" w:hAnsi="宋体" w:eastAsia="宋体" w:cs="宋体"/>
          <w:b/>
          <w:bCs/>
          <w:color w:val="auto"/>
          <w:sz w:val="21"/>
          <w:szCs w:val="21"/>
          <w:highlight w:val="none"/>
          <w:lang w:val="en-US" w:eastAsia="zh-CN"/>
        </w:rPr>
      </w:pPr>
      <w:r/>
      <w:bookmarkStart w:id="11" w:name="_GoBack"/>
      <w:r/>
      <w:bookmarkEnd w:id="11"/>
      <w:r/>
      <w:r/>
    </w:p>
    <w:p>
      <w:pPr>
        <w:pStyle w:val="694"/>
        <w:ind w:left="0" w:firstLine="0"/>
        <w:jc w:val="left"/>
        <w:spacing w:after="0"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pStyle w:val="694"/>
        <w:ind w:left="0" w:firstLine="0"/>
        <w:jc w:val="right"/>
        <w:spacing w:after="0" w:line="360" w:lineRule="auto"/>
        <w:rPr>
          <w:rFonts w:ascii="宋体" w:hAnsi="宋体" w:eastAsia="宋体"/>
          <w:color w:val="auto"/>
          <w:sz w:val="52"/>
          <w:highlight w:val="none"/>
        </w:rPr>
      </w:pPr>
      <w:r>
        <w:rPr>
          <w:rFonts w:hint="eastAsia" w:ascii="宋体" w:hAnsi="宋体" w:eastAsia="宋体" w:cs="宋体"/>
          <w:b/>
          <w:bCs/>
          <w:color w:val="auto"/>
          <w:sz w:val="21"/>
          <w:szCs w:val="21"/>
          <w:highlight w:val="none"/>
        </w:rPr>
        <w:t xml:space="preserve">（全文完）</w:t>
      </w:r>
      <w:r/>
    </w:p>
    <w:sectPr>
      <w:footnotePr/>
      <w:endnotePr/>
      <w:type w:val="nextPage"/>
      <w:pgSz w:w="11905"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Courier New">
    <w:panose1 w:val="02070309020205020404"/>
  </w:font>
  <w:font w:name="方正仿宋简体">
    <w:panose1 w:val="020B0503020202020204"/>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68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rPr>
        <w:highlight w:val="none"/>
        <w:u w:val="single"/>
      </w:rPr>
    </w:pPr>
    <w:r>
      <w:rPr>
        <w:rFonts w:hint="eastAsia"/>
        <w:u w:val="single"/>
      </w:rPr>
      <w:t xml:space="preserve"> </w:t>
    </w:r>
    <w:r>
      <w:rPr>
        <w:rFonts w:hint="eastAsia" w:asciiTheme="minorEastAsia" w:hAnsiTheme="minorEastAsia" w:eastAsiaTheme="minorEastAsia" w:cstheme="minorEastAsia"/>
        <w:u w:val="single"/>
      </w:rPr>
      <w:t xml:space="preserve">磋商文件                                       </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lang w:val="en-US" w:eastAsia="zh-CN"/>
      </w:rPr>
      <w:t xml:space="preserve">         </w:t>
    </w:r>
    <w:r>
      <w:rPr>
        <w:rFonts w:hint="eastAsia" w:asciiTheme="minorEastAsia" w:hAnsiTheme="minorEastAsia" w:eastAsiaTheme="minorEastAsia" w:cstheme="minorEastAsia"/>
        <w:highlight w:val="none"/>
        <w:u w:val="single"/>
      </w:rPr>
      <w:t xml:space="preserve">项目编号：</w:t>
    </w:r>
    <w:r>
      <w:rPr>
        <w:rFonts w:hint="eastAsia" w:asciiTheme="minorEastAsia" w:hAnsiTheme="minorEastAsia" w:eastAsiaTheme="minorEastAsia" w:cstheme="minorEastAsia"/>
        <w:highlight w:val="none"/>
        <w:u w:val="single"/>
        <w:lang w:eastAsia="zh-CN"/>
      </w:rPr>
      <w:t xml:space="preserve">JSZC-320591-SZJX-C2026-0005</w:t>
    </w:r>
    <w:r>
      <w:rPr>
        <w:rFonts w:hint="eastAsia" w:asciiTheme="minorEastAsia" w:hAnsiTheme="minorEastAsia" w:eastAsiaTheme="minorEastAsia" w:cstheme="minorEastAsia"/>
        <w:highlight w:val="none"/>
        <w:u w:val="single"/>
      </w:rPr>
      <w:t xml:space="preserve">号</w:t>
    </w:r>
    <w:r>
      <w:rPr>
        <w:rFonts w:hint="eastAsia"/>
        <w:highlight w:val="none"/>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66"/>
    <w:link w:val="659"/>
    <w:uiPriority w:val="9"/>
    <w:rPr>
      <w:rFonts w:ascii="Arial" w:hAnsi="Arial" w:eastAsia="Arial" w:cs="Arial"/>
      <w:sz w:val="30"/>
      <w:szCs w:val="30"/>
    </w:rPr>
  </w:style>
  <w:style w:type="character" w:styleId="19">
    <w:name w:val="Heading 4 Char"/>
    <w:basedOn w:val="666"/>
    <w:link w:val="660"/>
    <w:uiPriority w:val="9"/>
    <w:rPr>
      <w:rFonts w:ascii="Arial" w:hAnsi="Arial" w:eastAsia="Arial" w:cs="Arial"/>
      <w:b/>
      <w:bCs/>
      <w:sz w:val="26"/>
      <w:szCs w:val="26"/>
    </w:rPr>
  </w:style>
  <w:style w:type="character" w:styleId="21">
    <w:name w:val="Heading 5 Char"/>
    <w:basedOn w:val="666"/>
    <w:link w:val="661"/>
    <w:uiPriority w:val="9"/>
    <w:rPr>
      <w:rFonts w:ascii="Arial" w:hAnsi="Arial" w:eastAsia="Arial" w:cs="Arial"/>
      <w:b/>
      <w:bCs/>
      <w:sz w:val="24"/>
      <w:szCs w:val="24"/>
    </w:rPr>
  </w:style>
  <w:style w:type="character" w:styleId="23">
    <w:name w:val="Heading 6 Char"/>
    <w:basedOn w:val="666"/>
    <w:link w:val="662"/>
    <w:uiPriority w:val="9"/>
    <w:rPr>
      <w:rFonts w:ascii="Arial" w:hAnsi="Arial" w:eastAsia="Arial" w:cs="Arial"/>
      <w:b/>
      <w:bCs/>
      <w:sz w:val="22"/>
      <w:szCs w:val="22"/>
    </w:rPr>
  </w:style>
  <w:style w:type="character" w:styleId="25">
    <w:name w:val="Heading 7 Char"/>
    <w:basedOn w:val="666"/>
    <w:link w:val="663"/>
    <w:uiPriority w:val="9"/>
    <w:rPr>
      <w:rFonts w:ascii="Arial" w:hAnsi="Arial" w:eastAsia="Arial" w:cs="Arial"/>
      <w:b/>
      <w:bCs/>
      <w:i/>
      <w:iCs/>
      <w:sz w:val="22"/>
      <w:szCs w:val="22"/>
    </w:rPr>
  </w:style>
  <w:style w:type="character" w:styleId="27">
    <w:name w:val="Heading 8 Char"/>
    <w:basedOn w:val="666"/>
    <w:link w:val="664"/>
    <w:uiPriority w:val="9"/>
    <w:rPr>
      <w:rFonts w:ascii="Arial" w:hAnsi="Arial" w:eastAsia="Arial" w:cs="Arial"/>
      <w:i/>
      <w:iCs/>
      <w:sz w:val="22"/>
      <w:szCs w:val="22"/>
    </w:rPr>
  </w:style>
  <w:style w:type="character" w:styleId="29">
    <w:name w:val="Heading 9 Char"/>
    <w:basedOn w:val="666"/>
    <w:link w:val="665"/>
    <w:uiPriority w:val="9"/>
    <w:rPr>
      <w:rFonts w:ascii="Arial" w:hAnsi="Arial" w:eastAsia="Arial" w:cs="Arial"/>
      <w:i/>
      <w:iCs/>
      <w:sz w:val="21"/>
      <w:szCs w:val="21"/>
    </w:rPr>
  </w:style>
  <w:style w:type="character" w:styleId="34">
    <w:name w:val="Title Char"/>
    <w:basedOn w:val="666"/>
    <w:link w:val="692"/>
    <w:uiPriority w:val="10"/>
    <w:rPr>
      <w:sz w:val="48"/>
      <w:szCs w:val="48"/>
    </w:rPr>
  </w:style>
  <w:style w:type="character" w:styleId="36">
    <w:name w:val="Subtitle Char"/>
    <w:basedOn w:val="666"/>
    <w:link w:val="685"/>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table" w:styleId="49">
    <w:name w:val="Plain Table 1"/>
    <w:basedOn w:val="6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6"/>
    <w:uiPriority w:val="99"/>
    <w:rPr>
      <w:sz w:val="18"/>
    </w:rPr>
  </w:style>
  <w:style w:type="character" w:styleId="178">
    <w:name w:val="Endnote Text Char"/>
    <w:link w:val="678"/>
    <w:uiPriority w:val="99"/>
    <w:rPr>
      <w:sz w:val="20"/>
    </w:rPr>
  </w:style>
  <w:style w:type="paragraph" w:styleId="189">
    <w:name w:val="TOC Heading"/>
    <w:uiPriority w:val="39"/>
    <w:unhideWhenUsed/>
  </w:style>
  <w:style w:type="paragraph" w:styleId="656"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57">
    <w:name w:val="Heading 1"/>
    <w:basedOn w:val="656"/>
    <w:next w:val="656"/>
    <w:uiPriority w:val="0"/>
    <w:qFormat/>
    <w:pPr>
      <w:keepLines/>
      <w:keepNext/>
      <w:spacing w:before="340" w:after="330" w:line="578" w:lineRule="auto"/>
      <w:outlineLvl w:val="0"/>
    </w:pPr>
    <w:rPr>
      <w:b/>
      <w:sz w:val="44"/>
    </w:rPr>
  </w:style>
  <w:style w:type="paragraph" w:styleId="658">
    <w:name w:val="Heading 2"/>
    <w:basedOn w:val="656"/>
    <w:next w:val="656"/>
    <w:uiPriority w:val="0"/>
    <w:qFormat/>
    <w:pPr>
      <w:jc w:val="left"/>
      <w:keepLines/>
      <w:keepNext/>
      <w:outlineLvl w:val="1"/>
    </w:pPr>
    <w:rPr>
      <w:rFonts w:ascii="宋体" w:hAnsi="宋体" w:eastAsia="楷体_GB2312"/>
      <w:b/>
      <w:sz w:val="26"/>
      <w:szCs w:val="20"/>
    </w:rPr>
  </w:style>
  <w:style w:type="paragraph" w:styleId="659">
    <w:name w:val="Heading 3"/>
    <w:basedOn w:val="656"/>
    <w:next w:val="656"/>
    <w:link w:val="704"/>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05"/>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06"/>
    <w:uiPriority w:val="9"/>
    <w:unhideWhenUsed/>
    <w:qFormat/>
    <w:pPr>
      <w:keepLines/>
      <w:keepNext/>
      <w:spacing w:before="320" w:after="200"/>
      <w:outlineLvl w:val="4"/>
    </w:pPr>
    <w:rPr>
      <w:rFonts w:ascii="Arial" w:hAnsi="Arial" w:eastAsia="Arial" w:cs="Arial"/>
      <w:b/>
      <w:bCs/>
      <w:sz w:val="24"/>
    </w:rPr>
  </w:style>
  <w:style w:type="paragraph" w:styleId="662">
    <w:name w:val="Heading 6"/>
    <w:basedOn w:val="656"/>
    <w:next w:val="656"/>
    <w:link w:val="707"/>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09"/>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0"/>
    <w:uiPriority w:val="9"/>
    <w:unhideWhenUsed/>
    <w:qFormat/>
    <w:pPr>
      <w:keepLines/>
      <w:keepNext/>
      <w:spacing w:before="320" w:after="200"/>
      <w:outlineLvl w:val="8"/>
    </w:pPr>
    <w:rPr>
      <w:rFonts w:ascii="Arial" w:hAnsi="Arial" w:eastAsia="Arial" w:cs="Arial"/>
      <w:i/>
      <w:iCs/>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name w:val="toc 7"/>
    <w:basedOn w:val="656"/>
    <w:next w:val="656"/>
    <w:uiPriority w:val="39"/>
    <w:unhideWhenUsed/>
    <w:qFormat/>
    <w:pPr>
      <w:ind w:left="1701"/>
      <w:spacing w:after="57"/>
    </w:pPr>
  </w:style>
  <w:style w:type="paragraph" w:styleId="669">
    <w:name w:val="Normal Indent"/>
    <w:basedOn w:val="656"/>
    <w:next w:val="656"/>
    <w:uiPriority w:val="0"/>
    <w:qFormat/>
    <w:pPr>
      <w:ind w:firstLine="420"/>
      <w:jc w:val="left"/>
    </w:pPr>
    <w:rPr>
      <w:sz w:val="24"/>
    </w:rPr>
  </w:style>
  <w:style w:type="paragraph" w:styleId="670">
    <w:name w:val="Caption"/>
    <w:basedOn w:val="656"/>
    <w:next w:val="65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1">
    <w:name w:val="annotation text"/>
    <w:basedOn w:val="656"/>
    <w:link w:val="859"/>
    <w:uiPriority w:val="99"/>
    <w:unhideWhenUsed/>
    <w:qFormat/>
    <w:pPr>
      <w:jc w:val="left"/>
    </w:pPr>
  </w:style>
  <w:style w:type="paragraph" w:styleId="672">
    <w:name w:val="Body Text"/>
    <w:basedOn w:val="656"/>
    <w:uiPriority w:val="0"/>
    <w:qFormat/>
    <w:pPr>
      <w:jc w:val="left"/>
      <w:spacing w:line="360" w:lineRule="auto"/>
      <w:widowControl/>
    </w:pPr>
    <w:rPr>
      <w:sz w:val="24"/>
      <w:szCs w:val="20"/>
    </w:rPr>
  </w:style>
  <w:style w:type="paragraph" w:styleId="673">
    <w:name w:val="Body Text Indent"/>
    <w:basedOn w:val="656"/>
    <w:uiPriority w:val="0"/>
    <w:qFormat/>
    <w:pPr>
      <w:ind w:left="570"/>
      <w:spacing w:line="520" w:lineRule="exact"/>
    </w:pPr>
    <w:rPr>
      <w:rFonts w:ascii="方正仿宋简体" w:hAnsi="创艺简仿宋" w:eastAsia="方正仿宋简体"/>
      <w:sz w:val="24"/>
    </w:rPr>
  </w:style>
  <w:style w:type="paragraph" w:styleId="674">
    <w:name w:val="toc 5"/>
    <w:basedOn w:val="656"/>
    <w:next w:val="656"/>
    <w:uiPriority w:val="39"/>
    <w:unhideWhenUsed/>
    <w:qFormat/>
    <w:pPr>
      <w:ind w:left="1134"/>
      <w:spacing w:after="57"/>
    </w:pPr>
  </w:style>
  <w:style w:type="paragraph" w:styleId="675">
    <w:name w:val="toc 3"/>
    <w:basedOn w:val="656"/>
    <w:next w:val="656"/>
    <w:uiPriority w:val="39"/>
    <w:unhideWhenUsed/>
    <w:qFormat/>
    <w:pPr>
      <w:ind w:left="567"/>
      <w:spacing w:after="57"/>
    </w:pPr>
  </w:style>
  <w:style w:type="paragraph" w:styleId="676">
    <w:name w:val="Plain Text"/>
    <w:basedOn w:val="656"/>
    <w:uiPriority w:val="0"/>
    <w:qFormat/>
    <w:rPr>
      <w:rFonts w:ascii="宋体" w:hAnsi="Courier New"/>
    </w:rPr>
  </w:style>
  <w:style w:type="paragraph" w:styleId="677">
    <w:name w:val="toc 8"/>
    <w:basedOn w:val="656"/>
    <w:next w:val="656"/>
    <w:uiPriority w:val="39"/>
    <w:unhideWhenUsed/>
    <w:qFormat/>
    <w:pPr>
      <w:ind w:left="1984"/>
      <w:spacing w:after="57"/>
    </w:pPr>
  </w:style>
  <w:style w:type="paragraph" w:styleId="678">
    <w:name w:val="endnote text"/>
    <w:basedOn w:val="656"/>
    <w:link w:val="847"/>
    <w:uiPriority w:val="99"/>
    <w:semiHidden/>
    <w:unhideWhenUsed/>
    <w:qFormat/>
    <w:rPr>
      <w:sz w:val="20"/>
    </w:rPr>
  </w:style>
  <w:style w:type="paragraph" w:styleId="679">
    <w:name w:val="Balloon Text"/>
    <w:basedOn w:val="656"/>
    <w:link w:val="858"/>
    <w:uiPriority w:val="0"/>
    <w:qFormat/>
    <w:rPr>
      <w:sz w:val="18"/>
      <w:szCs w:val="18"/>
    </w:rPr>
  </w:style>
  <w:style w:type="paragraph" w:styleId="680">
    <w:name w:val="Footer"/>
    <w:basedOn w:val="656"/>
    <w:uiPriority w:val="99"/>
    <w:unhideWhenUsed/>
    <w:qFormat/>
    <w:pPr>
      <w:jc w:val="left"/>
      <w:tabs>
        <w:tab w:val="center" w:pos="4153" w:leader="none"/>
        <w:tab w:val="right" w:pos="8306" w:leader="none"/>
      </w:tabs>
    </w:pPr>
    <w:rPr>
      <w:sz w:val="18"/>
    </w:rPr>
  </w:style>
  <w:style w:type="paragraph" w:styleId="681">
    <w:name w:val="envelope return"/>
    <w:basedOn w:val="656"/>
    <w:uiPriority w:val="0"/>
    <w:qFormat/>
    <w:rPr>
      <w:rFonts w:ascii="Arial" w:hAnsi="Arial"/>
    </w:rPr>
  </w:style>
  <w:style w:type="paragraph" w:styleId="682">
    <w:name w:val="Header"/>
    <w:basedOn w:val="65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83">
    <w:name w:val="toc 1"/>
    <w:basedOn w:val="656"/>
    <w:next w:val="656"/>
    <w:uiPriority w:val="39"/>
    <w:unhideWhenUsed/>
    <w:qFormat/>
    <w:pPr>
      <w:spacing w:after="57"/>
    </w:pPr>
  </w:style>
  <w:style w:type="paragraph" w:styleId="684">
    <w:name w:val="toc 4"/>
    <w:basedOn w:val="656"/>
    <w:next w:val="656"/>
    <w:uiPriority w:val="39"/>
    <w:unhideWhenUsed/>
    <w:qFormat/>
    <w:pPr>
      <w:ind w:left="850"/>
      <w:spacing w:after="57"/>
    </w:pPr>
  </w:style>
  <w:style w:type="paragraph" w:styleId="685">
    <w:name w:val="Subtitle"/>
    <w:basedOn w:val="656"/>
    <w:next w:val="656"/>
    <w:link w:val="713"/>
    <w:uiPriority w:val="11"/>
    <w:qFormat/>
    <w:pPr>
      <w:spacing w:before="200" w:after="200"/>
    </w:pPr>
    <w:rPr>
      <w:sz w:val="24"/>
    </w:rPr>
  </w:style>
  <w:style w:type="paragraph" w:styleId="686">
    <w:name w:val="footnote text"/>
    <w:basedOn w:val="656"/>
    <w:link w:val="846"/>
    <w:uiPriority w:val="99"/>
    <w:semiHidden/>
    <w:unhideWhenUsed/>
    <w:qFormat/>
    <w:pPr>
      <w:spacing w:after="40"/>
    </w:pPr>
    <w:rPr>
      <w:sz w:val="18"/>
    </w:rPr>
  </w:style>
  <w:style w:type="paragraph" w:styleId="687">
    <w:name w:val="toc 6"/>
    <w:basedOn w:val="656"/>
    <w:next w:val="656"/>
    <w:uiPriority w:val="39"/>
    <w:unhideWhenUsed/>
    <w:qFormat/>
    <w:pPr>
      <w:ind w:left="1417"/>
      <w:spacing w:after="57"/>
    </w:pPr>
  </w:style>
  <w:style w:type="paragraph" w:styleId="688">
    <w:name w:val="table of figures"/>
    <w:basedOn w:val="656"/>
    <w:next w:val="656"/>
    <w:uiPriority w:val="99"/>
    <w:unhideWhenUsed/>
    <w:qFormat/>
  </w:style>
  <w:style w:type="paragraph" w:styleId="689">
    <w:name w:val="toc 2"/>
    <w:basedOn w:val="656"/>
    <w:next w:val="656"/>
    <w:uiPriority w:val="39"/>
    <w:unhideWhenUsed/>
    <w:qFormat/>
    <w:pPr>
      <w:ind w:left="283"/>
      <w:spacing w:after="57"/>
    </w:pPr>
  </w:style>
  <w:style w:type="paragraph" w:styleId="690">
    <w:name w:val="toc 9"/>
    <w:basedOn w:val="656"/>
    <w:next w:val="656"/>
    <w:uiPriority w:val="39"/>
    <w:unhideWhenUsed/>
    <w:qFormat/>
    <w:pPr>
      <w:ind w:left="2268"/>
      <w:spacing w:after="57"/>
    </w:pPr>
  </w:style>
  <w:style w:type="paragraph" w:styleId="691">
    <w:name w:val="Normal (Web)"/>
    <w:basedOn w:val="656"/>
    <w:uiPriority w:val="99"/>
    <w:unhideWhenUsed/>
    <w:qFormat/>
    <w:pPr>
      <w:jc w:val="left"/>
      <w:spacing w:beforeAutospacing="1" w:afterAutospacing="1"/>
    </w:pPr>
    <w:rPr>
      <w:sz w:val="24"/>
    </w:rPr>
  </w:style>
  <w:style w:type="paragraph" w:styleId="692">
    <w:name w:val="Title"/>
    <w:basedOn w:val="656"/>
    <w:next w:val="656"/>
    <w:link w:val="712"/>
    <w:uiPriority w:val="10"/>
    <w:qFormat/>
    <w:pPr>
      <w:contextualSpacing/>
      <w:spacing w:before="300" w:after="200"/>
    </w:pPr>
    <w:rPr>
      <w:sz w:val="48"/>
      <w:szCs w:val="48"/>
    </w:rPr>
  </w:style>
  <w:style w:type="paragraph" w:styleId="693">
    <w:name w:val="annotation subject"/>
    <w:basedOn w:val="671"/>
    <w:next w:val="671"/>
    <w:link w:val="860"/>
    <w:uiPriority w:val="0"/>
    <w:qFormat/>
    <w:rPr>
      <w:b/>
      <w:bCs/>
    </w:rPr>
  </w:style>
  <w:style w:type="paragraph" w:styleId="694">
    <w:name w:val="Body Text First Indent 2"/>
    <w:basedOn w:val="673"/>
    <w:uiPriority w:val="0"/>
    <w:qFormat/>
    <w:pPr>
      <w:ind w:left="420" w:firstLine="420"/>
      <w:spacing w:after="120" w:line="240" w:lineRule="auto"/>
    </w:pPr>
    <w:rPr>
      <w:rFonts w:ascii="Times New Roman" w:hAnsi="Times New Roman" w:eastAsia="楷体_GB2312"/>
      <w:sz w:val="26"/>
    </w:rPr>
  </w:style>
  <w:style w:type="table" w:styleId="6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basedOn w:val="666"/>
    <w:uiPriority w:val="99"/>
    <w:semiHidden/>
    <w:unhideWhenUsed/>
    <w:qFormat/>
    <w:rPr>
      <w:vertAlign w:val="superscript"/>
    </w:rPr>
  </w:style>
  <w:style w:type="character" w:styleId="697">
    <w:name w:val="Hyperlink"/>
    <w:uiPriority w:val="99"/>
    <w:unhideWhenUsed/>
    <w:qFormat/>
    <w:rPr>
      <w:color w:val="0026e5" w:themeColor="hyperlink"/>
      <w:u w:val="single"/>
      <w14:textFill>
        <w14:solidFill>
          <w14:schemeClr w14:val="hlink"/>
        </w14:solidFill>
      </w14:textFill>
    </w:rPr>
  </w:style>
  <w:style w:type="character" w:styleId="698">
    <w:name w:val="annotation reference"/>
    <w:basedOn w:val="666"/>
    <w:uiPriority w:val="0"/>
    <w:qFormat/>
    <w:rPr>
      <w:sz w:val="21"/>
      <w:szCs w:val="21"/>
    </w:rPr>
  </w:style>
  <w:style w:type="character" w:styleId="699">
    <w:name w:val="footnote reference"/>
    <w:basedOn w:val="666"/>
    <w:uiPriority w:val="99"/>
    <w:unhideWhenUsed/>
    <w:qFormat/>
    <w:rPr>
      <w:vertAlign w:val="superscript"/>
    </w:rPr>
  </w:style>
  <w:style w:type="paragraph" w:styleId="700" w:customStyle="1">
    <w:name w:val="正文文本1"/>
    <w:basedOn w:val="656"/>
    <w:next w:val="701"/>
    <w:uiPriority w:val="0"/>
    <w:qFormat/>
    <w:pPr>
      <w:jc w:val="left"/>
      <w:spacing w:line="360" w:lineRule="auto"/>
      <w:widowControl/>
    </w:pPr>
    <w:rPr>
      <w:sz w:val="24"/>
      <w:szCs w:val="20"/>
    </w:rPr>
  </w:style>
  <w:style w:type="paragraph" w:styleId="701" w:customStyle="1">
    <w:name w:val="正文缩进1"/>
    <w:basedOn w:val="656"/>
    <w:next w:val="656"/>
    <w:uiPriority w:val="99"/>
    <w:unhideWhenUsed/>
    <w:qFormat/>
    <w:pPr>
      <w:ind w:firstLine="420"/>
      <w:jc w:val="left"/>
    </w:pPr>
    <w:rPr>
      <w:rFonts w:ascii="Times New Roman" w:hAnsi="Times New Roman" w:eastAsia="楷体_GB2312"/>
      <w:sz w:val="24"/>
      <w:szCs w:val="20"/>
    </w:rPr>
  </w:style>
  <w:style w:type="character" w:styleId="702" w:customStyle="1">
    <w:name w:val="Heading 1 Char"/>
    <w:basedOn w:val="666"/>
    <w:uiPriority w:val="9"/>
    <w:qFormat/>
    <w:rPr>
      <w:rFonts w:ascii="Arial" w:hAnsi="Arial" w:eastAsia="Arial" w:cs="Arial"/>
      <w:sz w:val="40"/>
      <w:szCs w:val="40"/>
    </w:rPr>
  </w:style>
  <w:style w:type="character" w:styleId="703" w:customStyle="1">
    <w:name w:val="Heading 2 Char"/>
    <w:basedOn w:val="666"/>
    <w:uiPriority w:val="9"/>
    <w:qFormat/>
    <w:rPr>
      <w:rFonts w:ascii="Arial" w:hAnsi="Arial" w:eastAsia="Arial" w:cs="Arial"/>
      <w:sz w:val="34"/>
    </w:rPr>
  </w:style>
  <w:style w:type="character" w:styleId="704" w:customStyle="1">
    <w:name w:val="标题 3 字符"/>
    <w:basedOn w:val="666"/>
    <w:link w:val="659"/>
    <w:uiPriority w:val="9"/>
    <w:qFormat/>
    <w:rPr>
      <w:rFonts w:ascii="Arial" w:hAnsi="Arial" w:eastAsia="Arial" w:cs="Arial"/>
      <w:sz w:val="30"/>
      <w:szCs w:val="30"/>
    </w:rPr>
  </w:style>
  <w:style w:type="character" w:styleId="705" w:customStyle="1">
    <w:name w:val="标题 4 字符"/>
    <w:basedOn w:val="666"/>
    <w:link w:val="660"/>
    <w:uiPriority w:val="9"/>
    <w:qFormat/>
    <w:rPr>
      <w:rFonts w:ascii="Arial" w:hAnsi="Arial" w:eastAsia="Arial" w:cs="Arial"/>
      <w:b/>
      <w:bCs/>
      <w:sz w:val="26"/>
      <w:szCs w:val="26"/>
    </w:rPr>
  </w:style>
  <w:style w:type="character" w:styleId="706" w:customStyle="1">
    <w:name w:val="标题 5 字符"/>
    <w:basedOn w:val="666"/>
    <w:link w:val="661"/>
    <w:uiPriority w:val="9"/>
    <w:qFormat/>
    <w:rPr>
      <w:rFonts w:ascii="Arial" w:hAnsi="Arial" w:eastAsia="Arial" w:cs="Arial"/>
      <w:b/>
      <w:bCs/>
      <w:sz w:val="24"/>
      <w:szCs w:val="24"/>
    </w:rPr>
  </w:style>
  <w:style w:type="character" w:styleId="707" w:customStyle="1">
    <w:name w:val="标题 6 字符"/>
    <w:basedOn w:val="666"/>
    <w:link w:val="662"/>
    <w:uiPriority w:val="9"/>
    <w:qFormat/>
    <w:rPr>
      <w:rFonts w:ascii="Arial" w:hAnsi="Arial" w:eastAsia="Arial" w:cs="Arial"/>
      <w:b/>
      <w:bCs/>
      <w:sz w:val="22"/>
      <w:szCs w:val="22"/>
    </w:rPr>
  </w:style>
  <w:style w:type="character" w:styleId="708" w:customStyle="1">
    <w:name w:val="标题 7 字符"/>
    <w:basedOn w:val="666"/>
    <w:link w:val="663"/>
    <w:uiPriority w:val="9"/>
    <w:qFormat/>
    <w:rPr>
      <w:rFonts w:ascii="Arial" w:hAnsi="Arial" w:eastAsia="Arial" w:cs="Arial"/>
      <w:b/>
      <w:bCs/>
      <w:i/>
      <w:iCs/>
      <w:sz w:val="22"/>
      <w:szCs w:val="22"/>
    </w:rPr>
  </w:style>
  <w:style w:type="character" w:styleId="709" w:customStyle="1">
    <w:name w:val="标题 8 字符"/>
    <w:basedOn w:val="666"/>
    <w:link w:val="664"/>
    <w:uiPriority w:val="9"/>
    <w:qFormat/>
    <w:rPr>
      <w:rFonts w:ascii="Arial" w:hAnsi="Arial" w:eastAsia="Arial" w:cs="Arial"/>
      <w:i/>
      <w:iCs/>
      <w:sz w:val="22"/>
      <w:szCs w:val="22"/>
    </w:rPr>
  </w:style>
  <w:style w:type="character" w:styleId="710" w:customStyle="1">
    <w:name w:val="标题 9 字符"/>
    <w:basedOn w:val="666"/>
    <w:link w:val="665"/>
    <w:uiPriority w:val="9"/>
    <w:qFormat/>
    <w:rPr>
      <w:rFonts w:ascii="Arial" w:hAnsi="Arial" w:eastAsia="Arial" w:cs="Arial"/>
      <w:i/>
      <w:iCs/>
      <w:sz w:val="21"/>
      <w:szCs w:val="21"/>
    </w:rPr>
  </w:style>
  <w:style w:type="paragraph" w:styleId="711">
    <w:name w:val="No Spacing"/>
    <w:uiPriority w:val="1"/>
    <w:qFormat/>
    <w:rPr>
      <w:rFonts w:ascii="Times New Roman" w:hAnsi="Times New Roman" w:eastAsia="宋体" w:cs="Times New Roman"/>
      <w:lang w:val="en-US" w:eastAsia="zh-CN" w:bidi="ar-SA"/>
    </w:rPr>
  </w:style>
  <w:style w:type="character" w:styleId="712" w:customStyle="1">
    <w:name w:val="标题 字符"/>
    <w:basedOn w:val="666"/>
    <w:link w:val="692"/>
    <w:uiPriority w:val="10"/>
    <w:qFormat/>
    <w:rPr>
      <w:sz w:val="48"/>
      <w:szCs w:val="48"/>
    </w:rPr>
  </w:style>
  <w:style w:type="character" w:styleId="713" w:customStyle="1">
    <w:name w:val="副标题 字符"/>
    <w:basedOn w:val="666"/>
    <w:link w:val="685"/>
    <w:uiPriority w:val="11"/>
    <w:qFormat/>
    <w:rPr>
      <w:sz w:val="24"/>
      <w:szCs w:val="24"/>
    </w:rPr>
  </w:style>
  <w:style w:type="paragraph" w:styleId="714">
    <w:name w:val="Quote"/>
    <w:basedOn w:val="656"/>
    <w:next w:val="656"/>
    <w:link w:val="715"/>
    <w:uiPriority w:val="29"/>
    <w:qFormat/>
    <w:pPr>
      <w:ind w:left="720" w:right="720"/>
    </w:pPr>
    <w:rPr>
      <w:i/>
    </w:rPr>
  </w:style>
  <w:style w:type="character" w:styleId="715" w:customStyle="1">
    <w:name w:val="引用 字符"/>
    <w:link w:val="714"/>
    <w:uiPriority w:val="29"/>
    <w:qFormat/>
    <w:rPr>
      <w:i/>
    </w:rPr>
  </w:style>
  <w:style w:type="paragraph" w:styleId="716">
    <w:name w:val="Intense Quote"/>
    <w:basedOn w:val="656"/>
    <w:next w:val="656"/>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字符"/>
    <w:link w:val="716"/>
    <w:uiPriority w:val="30"/>
    <w:qFormat/>
    <w:rPr>
      <w:i/>
    </w:rPr>
  </w:style>
  <w:style w:type="character" w:styleId="718" w:customStyle="1">
    <w:name w:val="Header Char"/>
    <w:basedOn w:val="666"/>
    <w:uiPriority w:val="99"/>
    <w:qFormat/>
  </w:style>
  <w:style w:type="character" w:styleId="719" w:customStyle="1">
    <w:name w:val="Footer Char"/>
    <w:basedOn w:val="666"/>
    <w:uiPriority w:val="99"/>
    <w:qFormat/>
  </w:style>
  <w:style w:type="character" w:styleId="720" w:customStyle="1">
    <w:name w:val="Caption Char"/>
    <w:uiPriority w:val="99"/>
    <w:qFormat/>
  </w:style>
  <w:style w:type="table" w:styleId="721" w:customStyle="1">
    <w:name w:val="Table Grid Light"/>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2" w:customStyle="1">
    <w:name w:val="无格式表格 11"/>
    <w:basedOn w:val="6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无格式表格 21"/>
    <w:basedOn w:val="6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无格式表格 3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无格式表格 4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无格式表格 51"/>
    <w:basedOn w:val="6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网格表 1 浅色1"/>
    <w:basedOn w:val="6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6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6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6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6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6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6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4" w:customStyle="1">
    <w:name w:val="网格表 2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6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6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6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6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6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6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41" w:customStyle="1">
    <w:name w:val="网格表 31"/>
    <w:basedOn w:val="6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6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6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6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6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6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6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网格表 41"/>
    <w:basedOn w:val="6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6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50" w:customStyle="1">
    <w:name w:val="Grid Table 4 - Accent 2"/>
    <w:basedOn w:val="66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51" w:customStyle="1">
    <w:name w:val="Grid Table 4 - Accent 3"/>
    <w:basedOn w:val="66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52" w:customStyle="1">
    <w:name w:val="Grid Table 4 - Accent 4"/>
    <w:basedOn w:val="66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3" w:customStyle="1">
    <w:name w:val="Grid Table 4 - Accent 5"/>
    <w:basedOn w:val="66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4" w:customStyle="1">
    <w:name w:val="Grid Table 4 - Accent 6"/>
    <w:basedOn w:val="66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5" w:customStyle="1">
    <w:name w:val="网格表 5 深色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7" w:customStyle="1">
    <w:name w:val="Grid Table 5 Dark - Accent 2"/>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8" w:customStyle="1">
    <w:name w:val="Grid Table 5 Dark - Accent 3"/>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9" w:customStyle="1">
    <w:name w:val="Grid Table 5 Dark- Accent 4"/>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60" w:customStyle="1">
    <w:name w:val="Grid Table 5 Dark - Accent 5"/>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61" w:customStyle="1">
    <w:name w:val="Grid Table 5 Dark - Accent 6"/>
    <w:basedOn w:val="6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62" w:customStyle="1">
    <w:name w:val="网格表 6 彩色1"/>
    <w:basedOn w:val="6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Grid Table 6 Colorful - Accent 1"/>
    <w:basedOn w:val="66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4" w:customStyle="1">
    <w:name w:val="Grid Table 6 Colorful - Accent 2"/>
    <w:basedOn w:val="66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5" w:customStyle="1">
    <w:name w:val="Grid Table 6 Colorful - Accent 3"/>
    <w:basedOn w:val="66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66" w:customStyle="1">
    <w:name w:val="Grid Table 6 Colorful - Accent 4"/>
    <w:basedOn w:val="66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7" w:customStyle="1">
    <w:name w:val="Grid Table 6 Colorful - Accent 5"/>
    <w:basedOn w:val="66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8" w:customStyle="1">
    <w:name w:val="Grid Table 6 Colorful - Accent 6"/>
    <w:basedOn w:val="66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9" w:customStyle="1">
    <w:name w:val="网格表 7 彩色1"/>
    <w:basedOn w:val="6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6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6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6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6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6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6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6" w:customStyle="1">
    <w:name w:val="清单表 1 浅色1"/>
    <w:basedOn w:val="6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6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6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6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6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6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6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3" w:customStyle="1">
    <w:name w:val="清单表 21"/>
    <w:basedOn w:val="6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basedOn w:val="66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5" w:customStyle="1">
    <w:name w:val="List Table 2 - Accent 2"/>
    <w:basedOn w:val="66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6" w:customStyle="1">
    <w:name w:val="List Table 2 - Accent 3"/>
    <w:basedOn w:val="66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7" w:customStyle="1">
    <w:name w:val="List Table 2 - Accent 4"/>
    <w:basedOn w:val="66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8" w:customStyle="1">
    <w:name w:val="List Table 2 - Accent 5"/>
    <w:basedOn w:val="66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9" w:customStyle="1">
    <w:name w:val="List Table 2 - Accent 6"/>
    <w:basedOn w:val="66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90" w:customStyle="1">
    <w:name w:val="清单表 3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6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2" w:customStyle="1">
    <w:name w:val="List Table 3 - Accent 2"/>
    <w:basedOn w:val="66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6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6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6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6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7" w:customStyle="1">
    <w:name w:val="清单表 41"/>
    <w:basedOn w:val="6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6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9" w:customStyle="1">
    <w:name w:val="List Table 4 - Accent 2"/>
    <w:basedOn w:val="66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00" w:customStyle="1">
    <w:name w:val="List Table 4 - Accent 3"/>
    <w:basedOn w:val="66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01" w:customStyle="1">
    <w:name w:val="List Table 4 - Accent 4"/>
    <w:basedOn w:val="66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02" w:customStyle="1">
    <w:name w:val="List Table 4 - Accent 5"/>
    <w:basedOn w:val="66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3" w:customStyle="1">
    <w:name w:val="List Table 4 - Accent 6"/>
    <w:basedOn w:val="66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4" w:customStyle="1">
    <w:name w:val="清单表 5 深色1"/>
    <w:basedOn w:val="6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1"/>
    <w:basedOn w:val="66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2"/>
    <w:basedOn w:val="66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3"/>
    <w:basedOn w:val="66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4"/>
    <w:basedOn w:val="66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5"/>
    <w:basedOn w:val="66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6"/>
    <w:basedOn w:val="66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清单表 6 彩色1"/>
    <w:basedOn w:val="6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2" w:customStyle="1">
    <w:name w:val="List Table 6 Colorful - Accent 1"/>
    <w:basedOn w:val="66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3" w:customStyle="1">
    <w:name w:val="List Table 6 Colorful - Accent 2"/>
    <w:basedOn w:val="66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4" w:customStyle="1">
    <w:name w:val="List Table 6 Colorful - Accent 3"/>
    <w:basedOn w:val="66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5" w:customStyle="1">
    <w:name w:val="List Table 6 Colorful - Accent 4"/>
    <w:basedOn w:val="66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6" w:customStyle="1">
    <w:name w:val="List Table 6 Colorful - Accent 5"/>
    <w:basedOn w:val="66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7" w:customStyle="1">
    <w:name w:val="List Table 6 Colorful - Accent 6"/>
    <w:basedOn w:val="66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8" w:customStyle="1">
    <w:name w:val="清单表 7 彩色1"/>
    <w:basedOn w:val="6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6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6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6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6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6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6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7" w:customStyle="1">
    <w:name w:val="Lined - Accent 2"/>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8" w:customStyle="1">
    <w:name w:val="Lined - Accent 3"/>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9" w:customStyle="1">
    <w:name w:val="Lined - Accent 4"/>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0" w:customStyle="1">
    <w:name w:val="Lined - Accent 5"/>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1" w:customStyle="1">
    <w:name w:val="Lined - Accent 6"/>
    <w:basedOn w:val="66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2" w:customStyle="1">
    <w:name w:val="Bordered &amp; Lined - Accent"/>
    <w:basedOn w:val="6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basedOn w:val="66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4" w:customStyle="1">
    <w:name w:val="Bordered &amp; Lined - Accent 2"/>
    <w:basedOn w:val="66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5" w:customStyle="1">
    <w:name w:val="Bordered &amp; Lined - Accent 3"/>
    <w:basedOn w:val="66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6" w:customStyle="1">
    <w:name w:val="Bordered &amp; Lined - Accent 4"/>
    <w:basedOn w:val="66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7" w:customStyle="1">
    <w:name w:val="Bordered &amp; Lined - Accent 5"/>
    <w:basedOn w:val="66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8" w:customStyle="1">
    <w:name w:val="Bordered &amp; Lined - Accent 6"/>
    <w:basedOn w:val="66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9" w:customStyle="1">
    <w:name w:val="Bordered"/>
    <w:basedOn w:val="6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basedOn w:val="66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41" w:customStyle="1">
    <w:name w:val="Bordered - Accent 2"/>
    <w:basedOn w:val="66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42" w:customStyle="1">
    <w:name w:val="Bordered - Accent 3"/>
    <w:basedOn w:val="66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3" w:customStyle="1">
    <w:name w:val="Bordered - Accent 4"/>
    <w:basedOn w:val="66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4" w:customStyle="1">
    <w:name w:val="Bordered - Accent 5"/>
    <w:basedOn w:val="66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5" w:customStyle="1">
    <w:name w:val="Bordered - Accent 6"/>
    <w:basedOn w:val="66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6" w:customStyle="1">
    <w:name w:val="脚注文本 字符"/>
    <w:link w:val="686"/>
    <w:uiPriority w:val="99"/>
    <w:qFormat/>
    <w:rPr>
      <w:sz w:val="18"/>
    </w:rPr>
  </w:style>
  <w:style w:type="character" w:styleId="847" w:customStyle="1">
    <w:name w:val="尾注文本 字符"/>
    <w:link w:val="678"/>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Plain Text1"/>
    <w:basedOn w:val="656"/>
    <w:uiPriority w:val="0"/>
    <w:qFormat/>
    <w:rPr>
      <w:rFonts w:ascii="宋体" w:hAnsi="Courier New"/>
    </w:rPr>
  </w:style>
  <w:style w:type="paragraph" w:styleId="850" w:customStyle="1">
    <w:name w:val="段"/>
    <w:next w:val="656"/>
    <w:uiPriority w:val="0"/>
    <w:qFormat/>
    <w:pPr>
      <w:ind w:firstLine="200"/>
      <w:jc w:val="both"/>
    </w:pPr>
    <w:rPr>
      <w:rFonts w:ascii="宋体" w:hAnsi="Times New Roman" w:eastAsia="Times New Roman" w:cs="Times New Roman"/>
      <w:sz w:val="21"/>
      <w:szCs w:val="22"/>
      <w:lang w:val="en-US" w:eastAsia="zh-CN" w:bidi="ar-SA"/>
    </w:rPr>
  </w:style>
  <w:style w:type="paragraph" w:styleId="851" w:customStyle="1">
    <w:name w:val="首行缩进"/>
    <w:basedOn w:val="656"/>
    <w:uiPriority w:val="0"/>
    <w:qFormat/>
    <w:pPr>
      <w:ind w:firstLine="480"/>
    </w:pPr>
    <w:rPr>
      <w:szCs w:val="20"/>
      <w:lang w:val="zh-CN"/>
    </w:rPr>
  </w:style>
  <w:style w:type="paragraph" w:styleId="852" w:customStyle="1">
    <w:name w:val="纯文本1"/>
    <w:basedOn w:val="656"/>
    <w:uiPriority w:val="99"/>
    <w:qFormat/>
    <w:rPr>
      <w:rFonts w:ascii="宋体" w:hAnsi="Courier New" w:eastAsia="楷体_GB2312"/>
      <w:sz w:val="26"/>
    </w:rPr>
  </w:style>
  <w:style w:type="paragraph" w:styleId="853" w:customStyle="1">
    <w:name w:val="纯文本4"/>
    <w:basedOn w:val="656"/>
    <w:uiPriority w:val="0"/>
    <w:qFormat/>
    <w:rPr>
      <w:rFonts w:ascii="宋体" w:hAnsi="Courier New" w:eastAsia="楷体_GB2312"/>
      <w:sz w:val="26"/>
      <w:szCs w:val="20"/>
    </w:rPr>
  </w:style>
  <w:style w:type="paragraph" w:styleId="854" w:customStyle="1">
    <w:name w:val="_正文段落"/>
    <w:basedOn w:val="656"/>
    <w:uiPriority w:val="0"/>
    <w:qFormat/>
    <w:pPr>
      <w:ind w:firstLine="480"/>
      <w:spacing w:line="360" w:lineRule="auto"/>
    </w:pPr>
    <w:rPr>
      <w:rFonts w:ascii="宋体" w:hAnsi="宋体"/>
      <w:sz w:val="24"/>
    </w:rPr>
  </w:style>
  <w:style w:type="paragraph" w:styleId="855" w:customStyle="1">
    <w:name w:val="目录 51"/>
    <w:next w:val="656"/>
    <w:uiPriority w:val="0"/>
    <w:qFormat/>
    <w:pPr>
      <w:ind w:left="1275"/>
      <w:jc w:val="both"/>
    </w:pPr>
    <w:rPr>
      <w:rFonts w:ascii="Times New Roman" w:hAnsi="Times New Roman" w:eastAsia="宋体" w:cs="Times New Roman"/>
      <w:sz w:val="21"/>
      <w:lang w:val="en-US" w:eastAsia="zh-CN" w:bidi="ar-SA"/>
    </w:rPr>
  </w:style>
  <w:style w:type="paragraph" w:styleId="856" w:customStyle="1">
    <w:name w:val="_Style 131"/>
    <w:basedOn w:val="656"/>
    <w:next w:val="857"/>
    <w:uiPriority w:val="34"/>
    <w:qFormat/>
    <w:pPr>
      <w:ind w:firstLine="420"/>
    </w:pPr>
    <w:rPr>
      <w:rFonts w:ascii="Times New Roman" w:hAnsi="Times New Roman"/>
    </w:rPr>
  </w:style>
  <w:style w:type="paragraph" w:styleId="857">
    <w:name w:val="List Paragraph"/>
    <w:basedOn w:val="656"/>
    <w:uiPriority w:val="34"/>
    <w:qFormat/>
    <w:pPr>
      <w:ind w:firstLine="420"/>
    </w:pPr>
  </w:style>
  <w:style w:type="character" w:styleId="858" w:customStyle="1">
    <w:name w:val="批注框文本 字符"/>
    <w:basedOn w:val="666"/>
    <w:link w:val="679"/>
    <w:uiPriority w:val="0"/>
    <w:qFormat/>
    <w:rPr>
      <w:rFonts w:ascii="Calibri" w:hAnsi="Calibri"/>
      <w:sz w:val="18"/>
      <w:szCs w:val="18"/>
    </w:rPr>
  </w:style>
  <w:style w:type="character" w:styleId="859" w:customStyle="1">
    <w:name w:val="批注文字 字符"/>
    <w:basedOn w:val="666"/>
    <w:link w:val="671"/>
    <w:uiPriority w:val="99"/>
    <w:qFormat/>
    <w:rPr>
      <w:rFonts w:ascii="Calibri" w:hAnsi="Calibri"/>
      <w:sz w:val="21"/>
      <w:szCs w:val="24"/>
    </w:rPr>
  </w:style>
  <w:style w:type="character" w:styleId="860" w:customStyle="1">
    <w:name w:val="批注主题 字符"/>
    <w:basedOn w:val="859"/>
    <w:link w:val="693"/>
    <w:uiPriority w:val="0"/>
    <w:qFormat/>
    <w:rPr>
      <w:rFonts w:ascii="Calibri" w:hAnsi="Calibri"/>
      <w:sz w:val="21"/>
      <w:szCs w:val="24"/>
    </w:rPr>
  </w:style>
  <w:style w:type="paragraph" w:styleId="861" w:customStyle="1">
    <w:name w:val="Default"/>
    <w:uiPriority w:val="99"/>
    <w:unhideWhenUsed/>
    <w:qFormat/>
    <w:pPr>
      <w:widowControl w:val="off"/>
    </w:pPr>
    <w:rPr>
      <w:rFonts w:hint="eastAsia" w:ascii="宋体" w:hAnsi="宋体" w:eastAsia="宋体" w:cs="Times New Roman"/>
      <w:color w:val="000000"/>
      <w:sz w:val="24"/>
      <w:szCs w:val="24"/>
      <w:lang w:val="en-US" w:eastAsia="zh-CN" w:bidi="ar-SA"/>
    </w:rPr>
  </w:style>
  <w:style w:type="paragraph" w:styleId="862" w:customStyle="1">
    <w:name w:val="列出段落11"/>
    <w:basedOn w:val="656"/>
    <w:uiPriority w:val="0"/>
    <w:qFormat/>
    <w:pPr>
      <w:ind w:firstLine="420"/>
    </w:pPr>
    <w:rPr>
      <w:szCs w:val="22"/>
    </w:rPr>
  </w:style>
  <w:style w:type="paragraph" w:styleId="863" w:customStyle="1">
    <w:name w:val="列出段落1"/>
    <w:basedOn w:val="656"/>
    <w:uiPriority w:val="34"/>
    <w:unhideWhenUsed/>
    <w:qFormat/>
    <w:pPr>
      <w:ind w:firstLine="420"/>
    </w:pPr>
  </w:style>
  <w:style w:type="paragraph" w:styleId="864" w:customStyle="1">
    <w:name w:val="NormalIndent"/>
    <w:basedOn w:val="656"/>
    <w:uiPriority w:val="0"/>
    <w:qFormat/>
    <w:pPr>
      <w:ind w:left="1024" w:firstLine="420"/>
      <w:jc w:val="left"/>
    </w:pPr>
    <w:rPr>
      <w:sz w:val="24"/>
    </w:rPr>
  </w:style>
  <w:style w:type="paragraph" w:styleId="865" w:customStyle="1">
    <w:name w:val="正文 A"/>
    <w:basedOn w:val="656"/>
    <w:uiPriority w:val="0"/>
    <w:qFormat/>
    <w:rPr>
      <w:color w:val="000000"/>
      <w:sz w:val="26"/>
      <w:szCs w:val="26"/>
    </w:rPr>
  </w:style>
  <w:style w:type="numbering" w:styleId="954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汪业超</cp:lastModifiedBy>
  <cp:revision>2</cp:revision>
  <dcterms:created xsi:type="dcterms:W3CDTF">2026-01-22T18:57:00Z</dcterms:created>
  <dcterms:modified xsi:type="dcterms:W3CDTF">2026-02-10T02:42:34Z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2052-12.1.24709.24709</vt:lpwstr>
  </property>
  <property fmtid="{D5CDD505-2E9C-101B-9397-08002B2CF9AE}" pid="3" name="ICV">
    <vt:lpwstr>61A8288E1E9A456C9735730685DA0500_13</vt:lpwstr>
  </property>
  <property fmtid="{D5CDD505-2E9C-101B-9397-08002B2CF9AE}" pid="4" name="KSOTemplateDocerSaveRecord">
    <vt:lpwstr>eyJoZGlkIjoiMWUzNDA3NjVjYzJjOTM2MTJmMDlmMjQ2OGJiNjNhZTYiLCJ1c2VySWQiOiI2ODQ4MTkwNDQifQ==</vt:lpwstr>
  </property>
</Properties>
</file>